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sz w:val="22"/>
          <w:szCs w:val="22"/>
          <w:u w:val="single"/>
          <w:lang w:val="en-GB" w:eastAsia="en-GB" w:bidi="en-GB"/>
        </w:rPr>
      </w:pPr>
      <w:r>
        <w:rPr>
          <w:rFonts w:ascii="Calibri" w:hAnsi="Calibri" w:eastAsia="Calibri" w:cs="Calibri"/>
          <w:b/>
          <w:bCs/>
          <w:sz w:val="22"/>
          <w:szCs w:val="22"/>
          <w:u w:val="single"/>
          <w:lang w:val="en-GB" w:eastAsia="en-GB" w:bidi="en-GB"/>
        </w:rPr>
        <w:t xml:space="preserve">Prif swyddogaeth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Cyfrannu at ymchwil a dadansoddi yn y Ganolfan Ymchwil a Datblygu Gofal Cymdeithasol Plant (CASCADE) gyda ffocws penodol ar ysgrifennu cynigion.  Bydd y rôl hefyd yn cefnogi ac yn cyfrannu at berfformiad ymchwil cyffredinol yr Ysgol a'r Brifysgol, gan gynnal gwaith ymchwil o safon uchel i’w gyhoeddi mewn cyfnodolion. Dilyn rhagoriaeth mewn ymchwil ac ysbrydoli eraill i wneud yr un fath.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sz w:val="22"/>
          <w:szCs w:val="22"/>
          <w:u w:val="single"/>
          <w:lang w:val="en-GB" w:eastAsia="en-GB" w:bidi="en-GB"/>
        </w:rPr>
      </w:pPr>
      <w:r>
        <w:rPr>
          <w:rFonts w:ascii="Calibri" w:hAnsi="Calibri" w:eastAsia="Calibri" w:cs="Calibri"/>
          <w:b/>
          <w:bCs/>
          <w:sz w:val="22"/>
          <w:szCs w:val="22"/>
          <w:u w:val="single"/>
          <w:lang w:val="en-GB" w:eastAsia="en-GB" w:bidi="en-GB"/>
        </w:rPr>
        <w:t xml:space="preserve">Prif Ddyletswyddau a Chyfrifoldebau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Ymgymryd ag ymchwil, e.e. drwy gynllunio, paratoi, sefydlu, cynnal a chofnodi canlyniadau arbrofion / gwaith maes / ymchwil bwrdd gwaith / holiaduron yn y Ganolfan Ymchwil a Datblygu Gofal Cymdeithasol Plant (CASCADE)</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Chwarae rhan flaenllaw yn y grŵp ymchwil, gan gyfleu a chyflwyno ymchwil mewn cyfarfodydd, drwy gyhoeddiadau a llwybrau cydnabyddedig eraill fel y bo'n briodol, a gwneud yn siŵr bod gwybodaeth yn cael ei rhannu â phartneriaid mewnol ac allanol</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Cyfrannu at gyflwyniadau a chyhoeddiadau ymchwil a'u cynorthwyo yn ôl y gofyn</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Cyfrannu at geisiadau am gyllid ymchwil a chefnogi’r rhain yn ôl yr angen</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Dadansoddi a chyfleu syniadau, cysyniadau a data cymhleth gan ddefnyddio dulliau a phecynnau priodol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Datrys problemau a helpu cydweithwyr i ddatblygu’r gweithdrefnau sydd eu hangen i gyflwyno adroddiadau cywir ac amserol</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Creu allbynnau ymchwil a chyfrannu at ddatblygu syniadau annibynnol a gwreiddiol fel y bo'n briodol</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Cefnogi gweithgarwch ymchwil ar gyfer cyrsiau israddedig a rhaglenni ymchwil a rhoi arweiniad i aelodau eraill o staff y tîm ymchwil</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Cynnal a diweddaru eich gwybodaeth arbenigol, gan ymchwilio i lenyddiaeth berthnasol yn y maes a’i hadolygu’n feirniadol.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sz w:val="22"/>
          <w:szCs w:val="22"/>
          <w:u w:val="single"/>
          <w:lang w:val="en-GB" w:eastAsia="en-GB" w:bidi="en-GB"/>
        </w:rPr>
      </w:pPr>
      <w:r>
        <w:rPr>
          <w:rFonts w:ascii="Calibri" w:hAnsi="Calibri" w:eastAsia="Calibri" w:cs="Calibri"/>
          <w:b/>
          <w:bCs/>
          <w:sz w:val="22"/>
          <w:szCs w:val="22"/>
          <w:u w:val="single"/>
          <w:lang w:val="en-GB" w:eastAsia="en-GB" w:bidi="en-GB"/>
        </w:rPr>
        <w:t xml:space="preserve">Arall</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Cymryd rhan yng ngweinyddiaeth a gweithgareddau'r Ysgol er mwyn hyrwyddo'r Ysgol a'i gwaith yn y Brifysgol a’r tu hwnt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Datblygu’n bersonol ac yn broffesiynol mewn modd priodol a fydd yn gwella perfformiad.</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Sicrhau eich bod yn defnyddio eich dealltwriaeth o bwysigrwydd cyfrinachedd wrth gyflawni eich holl ddyletswyddau</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Cydymffurfio â pholisïau’r Brifysgol ar Iechyd a Diogelwch a Chydraddoldeb ac Amrywiaeth</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Unrhyw ddyletswyddau eraill nad ydynt wedi’u nodi uchod ond sy’n cyd-fynd â’r swydd.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sz w:val="22"/>
          <w:szCs w:val="22"/>
          <w:u w:val="single"/>
          <w:lang w:val="en-GB" w:eastAsia="en-GB" w:bidi="en-GB"/>
        </w:rPr>
      </w:pPr>
      <w:r>
        <w:rPr>
          <w:rFonts w:ascii="Calibri" w:hAnsi="Calibri" w:eastAsia="Calibri" w:cs="Calibri"/>
          <w:b/>
          <w:bCs/>
          <w:sz w:val="22"/>
          <w:szCs w:val="22"/>
          <w:u w:val="single"/>
          <w:lang w:val="en-GB" w:eastAsia="en-GB" w:bidi="en-GB"/>
        </w:rPr>
        <w:t xml:space="preserve">Manyleb yr Unigolyn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u w:val="single"/>
          <w:lang w:val="en-GB" w:eastAsia="en-GB" w:bidi="en-GB"/>
        </w:rPr>
      </w:pPr>
      <w:r>
        <w:rPr>
          <w:rFonts w:ascii="Calibri" w:hAnsi="Calibri" w:eastAsia="Calibri" w:cs="Calibri"/>
          <w:sz w:val="22"/>
          <w:szCs w:val="22"/>
          <w:u w:val="single"/>
          <w:lang w:val="en-GB" w:eastAsia="en-GB" w:bidi="en-GB"/>
        </w:rPr>
        <w:t xml:space="preserve">Meini Prawf Hanfodol </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Gradd mewn disgyblaeth berthnasol neu brofiad cyfatebol</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Gwybodaeth am ddulliau a thechnegau ymchwil yn y maes arbenigol</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Gallu diamheuol i ddadansoddi gwybodaeth gymhleth a chrynhoi'n briodol</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Gallu i ddangos y brwdfrydedd a’r gallu i lwyddo wrth sicrhau cyllid ymchwil </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Gwybodaeth am ofal cymdeithasol plant, a all gynnwys profiad bywyd fel ymarferydd neu dderbyn gwasanaethau</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Sgiliau cyfathrebu diamheuol, gan gynnwys cyflwyno i wahanol gynulleidfaoedd</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Sgiliau trefnu a gwaith tîm ardderchog </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Gallu diamheuol i fod yn greadigol ac yn arloesol a gweithio’n rhan o dîm yn y Gwaith</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r>
        <w:rPr>
          <w:rFonts w:ascii="Calibri" w:hAnsi="Calibri" w:eastAsia="Calibri" w:cs="Calibri"/>
          <w:sz w:val="22"/>
          <w:szCs w:val="22"/>
          <w:u w:val="single"/>
          <w:lang w:val="en-GB" w:eastAsia="en-GB" w:bidi="en-GB"/>
        </w:rPr>
        <w:t xml:space="preserve">Meini Prawf Dymunol</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Gradd ôl-raddedig ar lefel PhD mewn maes cysylltiedig neu brofiad perthnasol o ymarfer mewn maes cysylltiedig / mewn diwydiant perthnasol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Cymhwyster/cymwysterau proffesiynol perthnasol.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Tystiolaeth o gydweithio â’r diwydiant.</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Gallu diamheuol i weithio heb oruchwyliaeth agos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Gallu diamheuol i addasu i ofynion newidiol y gymuned addysg uwch.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sz w:val="22"/>
          <w:szCs w:val="22"/>
          <w:u w:val="single"/>
          <w:lang w:val="en-GB" w:eastAsia="en-GB" w:bidi="en-GB"/>
        </w:rPr>
      </w:pPr>
      <w:r>
        <w:rPr>
          <w:rFonts w:ascii="Calibri" w:hAnsi="Calibri" w:eastAsia="Calibri" w:cs="Calibri"/>
          <w:b/>
          <w:bCs/>
          <w:sz w:val="22"/>
          <w:szCs w:val="22"/>
          <w:u w:val="single"/>
          <w:lang w:val="en-GB" w:eastAsia="en-GB" w:bidi="en-GB"/>
        </w:rPr>
        <w:t xml:space="preserve">Gwybodaeth ychwanegol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Ceir rhagor o wybodaeth am CASCADE – Canolfan Ymchwil a Datblygu Gofal Cymdeithasol Plant ar y wefan.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A cheir rhagor o wybodaeth am y meysydd blaenoriaeth strategol y bydd y rôl yn eu cefnogi isod;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sz w:val="22"/>
          <w:szCs w:val="22"/>
          <w:u w:val="single"/>
          <w:lang w:val="en-GB" w:eastAsia="en-GB" w:bidi="en-GB"/>
        </w:rPr>
      </w:pPr>
      <w:r>
        <w:rPr>
          <w:rFonts w:ascii="Calibri" w:hAnsi="Calibri" w:eastAsia="Calibri" w:cs="Calibri"/>
          <w:b/>
          <w:bCs/>
          <w:sz w:val="22"/>
          <w:szCs w:val="22"/>
          <w:u w:val="single"/>
          <w:lang w:val="en-GB" w:eastAsia="en-GB" w:bidi="en-GB"/>
        </w:rPr>
        <w:t xml:space="preserve">Trosolwg o'r Blaenoriaethau Strategol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Mae CASCADE yn canolbwyntio ar bedwar maes blaenoriaeth sy'n cefnogi canlyniadau gwell i blant a theuluoedd. Mae'r meysydd hyn yn helpu i arwain gwaith ymchwil, ymgysylltu ac effaith.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Bydd pob blaenoriaeth yn ffocws penodol am chwarter o bob blwyddyn, er y byddant yn parhau i ddatblygu gwaith drwy gydol y flwyddyn.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Mae gennym rai egwyddorion trawsbynciol, gan gynnwys ymrwymiad i ragoriaeth ymchwil, cynnwys y cyhoedd yn ystyrlon a gweithio mewn cydweithrediad yn y sector a thu hwnt.</w:t>
      </w:r>
    </w:p>
    <w:p>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b/>
          <w:bCs/>
          <w:color w:val="00B0F0"/>
          <w:sz w:val="22"/>
          <w:szCs w:val="22"/>
          <w:u w:val="single"/>
          <w:lang w:val="en-GB" w:eastAsia="en-GB" w:bidi="en-GB"/>
        </w:rPr>
        <w:t xml:space="preserve">Lleihau Anghydraddoldebau </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Arweinydd: Martin Elliot</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1.1 Cylch Gwaith - Rydym yn archwilio sut mae ffactorau strwythurol, sefydliadol ac ymarferol yn llunio profiadau anghyfartal i blant a theuluoedd. Y nod yw deall, lleihau ac yn y pen draw ddileu anghydraddoldebau, a sicrhau bod yr ymchwil yn cynnwys ac yn tynnu sylw at leisiau na chânt eu clywed.</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1.2 Crynodeb o'r Ymchwil -Mae gan CASCADE arbenigedd cryf mewn defnyddio data gweinyddol i ddeall anghydraddoldebau, gan gynnwys astudiaethau pedair cenedl a dadansoddiadau o effeithiau ethnigrwydd, incwm ac amddifadedd. Rydym hefyd wedi dechrau gwaith ansoddol yn archwilio sut mae ymarfer yn ymateb i dlodi a phenderfynyddion cymdeithasol eraill. </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1.3 Blaenoriaethau Ymgysylltu â'r Sector ac Effaith - Mae ein blaenoriaethau ar gyfer y flwyddyn nesaf yn ddeublyg. Yn gyntaf, sicrhau bod y negeseuon am anghydraddoldebau ar gyfer polisi ac ymarfer sy'n deillio o ymchwil y ganolfan yn fwy hygyrch drwy ddwyn ynghyd ganfyddiadau sy'n canolbwyntio ar anghydraddoldebau o bob rhan o'n gwaith yn flynyddol, drwy ddatblygu briff polisi sy'n canolbwyntio ar anghydraddoldebau a chynnal uwchgynhadledd gysylltiedig. Yn ail, cynnal ffocws ar ddatblygu ceisiadau am gyllid pellach i ymgymryd â gwaith ar anghydraddoldebau, a bod mwy o'r ceisiadau hynny'n cael eu datblygu ar y cyd ar draws disgyblaethau. </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p>
    <w:p>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b/>
          <w:bCs/>
          <w:color w:val="00B0F0"/>
          <w:sz w:val="22"/>
          <w:szCs w:val="22"/>
          <w:u w:val="single"/>
          <w:lang w:val="en-GB" w:eastAsia="en-GB" w:bidi="en-GB"/>
        </w:rPr>
        <w:t xml:space="preserve">Cefnogi Perthnasoedd </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Arweinydd: Lorna Stabler </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2.1 Cylch Gwaith - Mae'r maes hwn yn canolbwyntio ar bwysigrwydd perthnasoedd cariadus, sefydlog a pharhaol i blant a theuluoedd. Rydym yn archwilio sut mae perthnasoedd yn cael eu ffurfio, eu cynnal a'u diogelu drwy gydol y cyfnod o ymwneud â gofal cymdeithasol. </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2.2 Crynodeb o'r Ymchwil - Mae'r gwaith yn cwmpasu perthnasoedd teuluol, sefydlogrwydd perthnasoedd, a phrofiadau plant mewn gofal a thu hwnt. Rydym yn archwilio sut mae perthnasoedd yn creu hunaniaeth, lles a chanlyniadau hirdymor, a sut y gall gwasanaethau eu cefnogi. </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2.3 Blaenoriaethau Ymgysylltu â'r Sector ac Effaith - Byddwn yn cynhyrchu briff polisi blynyddol ar berthnasoedd ac yn cynnal digwyddiad i'r sector rannu canfyddiadau. Byddwn hefyd yn datblygu cynigion ariannu newydd ar sefydlogrwydd perthnasoedd, profiadau mewn gofal, ac ymarfer cyfranogol.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color w:val="00B0F0"/>
          <w:sz w:val="22"/>
          <w:szCs w:val="22"/>
          <w:u w:val="single"/>
          <w:lang w:val="en-GB" w:eastAsia="en-GB" w:bidi="en-GB"/>
        </w:rPr>
      </w:pPr>
      <w:r>
        <w:rPr>
          <w:rFonts w:ascii="Calibri" w:hAnsi="Calibri" w:eastAsia="Calibri" w:cs="Calibri"/>
          <w:b/>
          <w:bCs/>
          <w:color w:val="00B0F0"/>
          <w:sz w:val="22"/>
          <w:szCs w:val="22"/>
          <w:u w:val="single"/>
          <w:lang w:val="en-GB" w:eastAsia="en-GB" w:bidi="en-GB"/>
        </w:rPr>
        <w:t xml:space="preserve">3. Cefnogi Ymarfer Gwych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72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Arweinydd: Rebecca Jones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3.1 Cylch Gwaith - Mae'r maes hwn yn canolbwyntio ar y sgiliau, y penderfyniadau a'r dulliau sy'n galluogi ymarferwyr i weithio'n effeithiol. Mae'n cwmpasu gwaith uniongyrchol, asesu, gwneud penderfyniadau ac offer sy'n dod i'r amlwg fel deallusrwydd artiffisial a gynlluniwyd i gefnogi ymarfer.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3.2 Crynodeb o'r Ymchwil - Rydym yn astudio cyfathrebu, gwaith uniongyrchol, MI a gwneud penderfyniadau. Rydym hefyd yn archwilio sut mae offer digidol yn dechrau llunio ymarfer a dysgu ar draws y gweithlu.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3.3 Blaenoriaethau Ymgysylltu â'r Sector ac Effaith - Byddwn yn syntheseiddio tystiolaeth ar waith uniongyrchol effeithiol ac yn ei rhannu drwy ddigwyddiadau sector. Byddwn yn dechrau rhoi sylw i'r hyn sy'n ymarfer da mewn gofal cymdeithasol plant, gan flaenoriaethu barn rhieni a'r rhai sydd â phrofiad uniongyrchol o'r system ofal. Bydd hyn yn cyd-fynd â chyhoeddiadau arfaethedig, ac yn cefnogi dysgu ehangach yn y gweithlu.</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color w:val="00B0F0"/>
          <w:sz w:val="22"/>
          <w:szCs w:val="22"/>
          <w:u w:val="single"/>
          <w:lang w:val="en-GB" w:eastAsia="en-GB" w:bidi="en-GB"/>
        </w:rPr>
      </w:pPr>
      <w:r>
        <w:rPr>
          <w:rFonts w:ascii="Calibri" w:hAnsi="Calibri" w:eastAsia="Calibri" w:cs="Calibri"/>
          <w:b/>
          <w:bCs/>
          <w:color w:val="00B0F0"/>
          <w:sz w:val="22"/>
          <w:szCs w:val="22"/>
          <w:u w:val="single"/>
          <w:lang w:val="en-GB" w:eastAsia="en-GB" w:bidi="en-GB"/>
        </w:rPr>
        <w:t xml:space="preserve">4. Sefydliadau a Systemau Effeithiol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72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Arweinydd: Donald Forrester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4.1 Cylch Gwaith - Rydym yn archwilio sut mae arweinyddiaeth, diwylliant, systemau ac adnoddau’n llunio'r amodau ar gyfer ymarfer da. Mae sefydliadau cryf yn galluogi penderfyniadau hyderus, dysgu a gwelliant cynaliadwy.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4.2 Crynodeb o'r Ymchwil - Mae CASCADE yn astudio ailgynllunio gwasanaethau, datblygu'r gweithlu, gweithredu ac arloesi. Rydym yn ymchwilio sut mae ffactorau sefydliadol yn dylanwadu ar ansawdd ymarfer a sut mae modelau'n seiliedig ar dystiolaeth yn cael eu mabwysiadu a'u cynnal. Mae gennym arbenigedd penodol mewn gwerthuso'r hyn sy'n gweithio.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4.3 Blaenoriaethau Ymgysylltu â'r Sector ac Effaith - Mae’r ffocws eleni ar arweinyddiaeth. Byddwn yn datblygu gweithdai, partneriaethau ac offer sy'n cynorthwyo arweinwyr i ymdrin â chymhlethdod a chryfhau amodau sefydliadol ar gyfer ymarfer effeithiol.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sz w:val="22"/>
          <w:szCs w:val="22"/>
          <w:u w:val="single"/>
          <w:lang w:val="en-GB" w:eastAsia="en-GB" w:bidi="en-GB"/>
        </w:rPr>
      </w:pPr>
      <w:r>
        <w:rPr>
          <w:rFonts w:ascii="Calibri" w:hAnsi="Calibri" w:eastAsia="Calibri" w:cs="Calibri"/>
          <w:b/>
          <w:bCs/>
          <w:sz w:val="22"/>
          <w:szCs w:val="22"/>
          <w:u w:val="single"/>
          <w:lang w:val="en-GB" w:eastAsia="en-GB" w:bidi="en-GB"/>
        </w:rPr>
        <w:t xml:space="preserve">Canolfan Ymchwil a Datblygu Gofal Cymdeithasol Plant (CASCADE)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CASCADE yw'r ganolfan flaenllaw ar gyfer ymchwil gwerthuso ym maes gofal cymdeithasol plant yn y DU. Mae hefyd yn ganolfan ragoriaeth flaenllaw ym maes y gwyddorau cymdeithasol ac ymchwil addysg. Dyma'r unig ganolfan o'i math yng Nghymru, sy’n hyrwyddo tystiolaeth ac yn gwella canlyniadau i blant a theuluoedd. Mae’n ymwneud â phob agwedd ar ymatebion cymunedol i anghenion cymdeithasol plant a theuluoedd megis gwasanaethau cymorth i deuluoedd, gwasanaethau i blant anghenus, amddiffyn plant, plant o dan ofal a mabwysiadu. Ei nod pennaf yw gwella lles a diogelwch plant a'u teuluoedd trwy: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Creu tystiolaeth ymchwil sylfaenol o safon a gydnabyddir yn rhyngwladol.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Peri bod canlyniadau'r ymchwil hon, ac ymchwil gan eraill, ar ffurf hygyrch i blant a theuluoedd sy'n derbyn gwasanaethau gofal cymdeithasol, gweithwyr proffesiynol a llunwyr polisïau.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Datblygu capasiti ymchwil ar ofal cymdeithasol drwy gynnig cyfleoedd i ymchwilwyr, boed yn fyfyrwyr israddedig neu’n ymchwilwyr hŷn.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Ymgysylltu ag ystod o randdeiliaid ymchwil, gan gynnwys plant a phobl ifanc, rhieni a gofalwyr, ymarferwyr, llunwyr polisïau a darparwyr gofal cymdeithasol yn y sector gyhoeddus, breifat a'r trydydd sector.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Mae CASCADE yn cefnogi ac yn datblygu pobl drwy gydol eu gyrfaoedd, gan gynnwys arwain y genhedlaeth nesaf o arweinwyr ymchwil. Mae’n cynnwys y rhai sydd â phrofiad o dderbyn gwasanaethau yn ein holl waith mewn ffyrdd sy’n darparu canlyniadau, ac mae’n ymgysylltu â'r sector drwy ymdrechion parhaus ac ystyrlon i ddeall a defnyddio gwybodaeth ymchwil. Gwneir hyn nid yn unig trwy ein gwaith ymchwil, ond hefyd yn ymarferol drwy rannu gwybodaeth, cynnal hyfforddiant ac ymgysylltu â'r cyhoedd drwy ein prosiectau 'ExChange' a thîm cynnwys y cyhoedd, 'Lleisiau CASCADE' (CASCADE Voices.)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Mae CASCADE yn rhan o Ysgol y Gwyddorau Cymdeithasol Prifysgol Caerdydd. Mae'r Ysgol yn ganolfan addysgu ac ymchwil ryngddisgyblaethol. A chanddi gysylltiadau cryf â’r diwydiant a maes meddygaeth, ei nod yw arwain trafodaethau cyhoeddus a thrafodaethau ynghylch pholisïau drwy’r byd, ledled y wlad ac yn lleol, ac mae’n enwog am ei hysgolheictod arloesol ym maes y gwyddorau cymdeithasol a thu hwnt. Mae rhagor o fanylion am weithgareddau’r Ysgol ar ein tudalen hafan:  https://www.cardiff.ac.uk/cy/social-sciences.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p>
    <w:sectPr>
      <w:pgSz w:w="11906" w:h="16838"/>
      <w:pgMar w:top="1440" w:right="1440" w:bottom="1440" w:left="1440" w:header="708" w:footer="708"/>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Aptos">
    <w:charset w:val="00"/>
    <w:family w:val="swiss"/>
    <w:pitch w:val="variable"/>
  </w:font>
  <w:font w:name="Aptos Display">
    <w:charset w:val="00"/>
    <w:family w:val="swiss"/>
    <w:pitch w:val="variable"/>
  </w:font>
  <w:font w:name="Calibri">
    <w:panose1 w:val="020F0502020204030204"/>
    <w:charset w:val="00"/>
    <w:family w:val="swiss"/>
    <w:pitch w:val="variable"/>
    <w:sig w:usb0="E4002EFF" w:usb1="C000247B" w:usb2="00000009" w:usb3="00000000" w:csb0="200001FF" w:csb1="00000000"/>
  </w:font>
</w:fonts>
</file>

<file path=word/numbering.xml><?xml version="1.0" encoding="utf-8"?>
<w:numbering xmlns:w="http://schemas.openxmlformats.org/wordprocessingml/2006/main">
  <w:abstractNum w:abstractNumId="0">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auto"/>
        <w:position w:val="0"/>
        <w:sz w:val="22"/>
        <w:u w:val="none"/>
        <w:shd w:val="clear" w:color="auto" w:fill="auto"/>
      </w:rPr>
    </w:lvl>
  </w:abstractNum>
  <w:abstractNum w:abstractNumId="1">
    <w:multiLevelType w:val="singleLevel"/>
    <w:lvl w:ilvl="0">
      <w:start w:val="1"/>
      <w:numFmt w:val="decimal"/>
      <w:suff w:val="tab"/>
      <w:lvlText w:val="%1."/>
      <w:pPr>
        <w:ind w:left="720" w:hanging="360"/>
        <w:tabs>
          <w:tab w:val="num" w:pos="720"/>
        </w:tabs>
      </w:pPr>
      <w:rPr>
        <w:rFonts w:hint="default" w:ascii="Calibri" w:hAnsi="Calibri" w:eastAsia="Calibri" w:cs="Calibri"/>
        <w:b w:val="off"/>
        <w:i w:val="off"/>
        <w:strike w:val="off"/>
        <w:color w:val="auto"/>
        <w:position w:val="0"/>
        <w:sz w:val="22"/>
        <w:u w:val="none"/>
        <w:shd w:val="clear" w:color="auto" w:fill="auto"/>
      </w:rPr>
    </w:lvl>
  </w:abstractNum>
  <w:abstractNum w:abstractNumId="2">
    <w:multiLevelType w:val="singleLevel"/>
    <w:lvl w:ilvl="0">
      <w:start w:val="1"/>
      <w:numFmt w:val="decimal"/>
      <w:suff w:val="tab"/>
      <w:lvlText w:val="%1."/>
      <w:pPr>
        <w:ind w:left="720" w:hanging="360"/>
        <w:tabs>
          <w:tab w:val="num" w:pos="720"/>
        </w:tabs>
      </w:pPr>
      <w:rPr>
        <w:rFonts w:hint="default" w:ascii="Calibri" w:hAnsi="Calibri" w:eastAsia="Calibri" w:cs="Calibri"/>
        <w:b w:val="on"/>
        <w:i w:val="off"/>
        <w:strike w:val="off"/>
        <w:color w:val="00B0F0"/>
        <w:position w:val="0"/>
        <w:sz w:val="22"/>
        <w:u w:val="single"/>
        <w:shd w:val="clear" w:color="auto" w:fill="auto"/>
      </w:rPr>
    </w:lvl>
  </w:abstractNum>
  <w:num w:numId="1">
    <w:abstractNumId w:val="0"/>
  </w:num>
  <w:num w:numId="2">
    <w:abstractNumId w:val="1"/>
  </w:num>
  <w:num w:numId="3">
    <w:abstractNumId w:val="2"/>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pPr>
    <w:rPr>
      <w:rFonts w:ascii="Arial" w:hAnsi="Arial" w:eastAsia="Arial" w:cs="Arial"/>
      <w:sz w:val="20"/>
      <w:szCs w:val="20"/>
      <w:lang w:val="en-GB" w:eastAsia="en-GB" w:bidi="en-GB"/>
    </w:rPr>
  </w:style>
  <w:style w:type="paragraph" w:styleId="Normal">
    <w:name w:val="Normal"/>
    <w:next w:val="Normal"/>
    <w:qFormat/>
    <w:pPr>
      <w:widowControl w:val="on"/>
      <w:shd w:val="clear" w:color="auto" w:fill="auto"/>
      <w:spacing w:before="0" w:after="160" w:line="278" w:lineRule="auto"/>
      <w:ind w:left="0" w:right="0" w:firstLine="0"/>
      <w:jc w:val="left"/>
      <w:outlineLvl w:val="9"/>
    </w:pPr>
    <w:rPr>
      <w:rFonts w:ascii="Aptos" w:hAnsi="Aptos" w:eastAsia="Aptos" w:cs="Aptos"/>
      <w:b w:val="off"/>
      <w:bCs w:val="off"/>
      <w:i w:val="off"/>
      <w:iCs w:val="off"/>
      <w:caps w:val="off"/>
      <w:smallCaps w:val="off"/>
      <w:strike w:val="off"/>
      <w:color w:val="auto"/>
      <w:spacing w:val="0"/>
      <w:w w:val="100"/>
      <w:position w:val="0"/>
      <w:sz w:val="24"/>
      <w:szCs w:val="24"/>
      <w:shd w:val="clear" w:color="auto" w:fill="auto"/>
      <w:vertAlign w:val="baseline"/>
      <w:rtl w:val="off"/>
      <w:lang w:val="en-GB" w:eastAsia="en-GB" w:bidi="en-GB"/>
    </w:rPr>
  </w:style>
  <w:style w:type="paragraph" w:styleId="ListParagraph">
    <w:name w:val="List Paragraph"/>
    <w:basedOn w:val="Normal"/>
    <w:next w:val="ListParagraph"/>
    <w:qFormat/>
    <w:pPr>
      <w:ind w:left="720"/>
    </w:pPr>
    <w:rPr>
      <w:lang w:val="en-GB" w:eastAsia="en-GB" w:bidi="en-GB"/>
    </w:rPr>
  </w:style>
  <w:style w:type="paragraph" w:styleId="Heading1">
    <w:name w:val="heading 1"/>
    <w:basedOn w:val="Normal"/>
    <w:next w:val="Normal"/>
    <w:qFormat/>
    <w:pPr>
      <w:keepNext/>
      <w:keepLines/>
      <w:spacing w:before="360" w:after="80"/>
      <w:outlineLvl w:val="0"/>
    </w:pPr>
    <w:rPr>
      <w:rFonts w:ascii="Aptos Display" w:hAnsi="Aptos Display" w:eastAsia="Aptos Display" w:cs="Aptos Display"/>
      <w:color w:val="0F4761"/>
      <w:sz w:val="40"/>
      <w:szCs w:val="40"/>
      <w:lang w:val="en-GB" w:eastAsia="en-GB" w:bidi="en-GB"/>
    </w:rPr>
  </w:style>
  <w:style w:type="paragraph" w:styleId="Heading2">
    <w:name w:val="heading 2"/>
    <w:basedOn w:val="Normal"/>
    <w:next w:val="Normal"/>
    <w:qFormat/>
    <w:pPr>
      <w:keepNext/>
      <w:keepLines/>
      <w:spacing w:before="160" w:after="80"/>
      <w:outlineLvl w:val="1"/>
    </w:pPr>
    <w:rPr>
      <w:rFonts w:ascii="Aptos Display" w:hAnsi="Aptos Display" w:eastAsia="Aptos Display" w:cs="Aptos Display"/>
      <w:color w:val="0F4761"/>
      <w:sz w:val="32"/>
      <w:szCs w:val="32"/>
      <w:lang w:val="en-GB" w:eastAsia="en-GB" w:bidi="en-GB"/>
    </w:rPr>
  </w:style>
  <w:style w:type="paragraph" w:styleId="Heading3">
    <w:name w:val="heading 3"/>
    <w:basedOn w:val="Normal"/>
    <w:next w:val="Normal"/>
    <w:qFormat/>
    <w:pPr>
      <w:keepNext/>
      <w:keepLines/>
      <w:spacing w:before="160" w:after="80"/>
      <w:outlineLvl w:val="2"/>
    </w:pPr>
    <w:rPr>
      <w:color w:val="0F4761"/>
      <w:sz w:val="28"/>
      <w:szCs w:val="28"/>
      <w:lang w:val="en-GB" w:eastAsia="en-GB" w:bidi="en-GB"/>
    </w:rPr>
  </w:style>
  <w:style w:type="paragraph" w:styleId="Heading4">
    <w:name w:val="heading 4"/>
    <w:basedOn w:val="Normal"/>
    <w:next w:val="Normal"/>
    <w:qFormat/>
    <w:pPr>
      <w:keepNext/>
      <w:keepLines/>
      <w:spacing w:before="80" w:after="40"/>
      <w:outlineLvl w:val="3"/>
    </w:pPr>
    <w:rPr>
      <w:i/>
      <w:iCs/>
      <w:color w:val="0F4761"/>
      <w:lang w:val="en-GB" w:eastAsia="en-GB" w:bidi="en-GB"/>
    </w:rPr>
  </w:style>
  <w:style w:type="paragraph" w:styleId="Heading5">
    <w:name w:val="heading 5"/>
    <w:basedOn w:val="Normal"/>
    <w:next w:val="Normal"/>
    <w:qFormat/>
    <w:pPr>
      <w:keepNext/>
      <w:keepLines/>
      <w:spacing w:before="80" w:after="40"/>
      <w:outlineLvl w:val="4"/>
    </w:pPr>
    <w:rPr>
      <w:color w:val="0F4761"/>
      <w:lang w:val="en-GB" w:eastAsia="en-GB" w:bidi="en-GB"/>
    </w:rPr>
  </w:style>
  <w:style w:type="paragraph" w:styleId="Heading6">
    <w:name w:val="heading 6"/>
    <w:basedOn w:val="Normal"/>
    <w:next w:val="Normal"/>
    <w:qFormat/>
    <w:pPr>
      <w:keepNext/>
      <w:keepLines/>
      <w:spacing w:before="40" w:after="0"/>
      <w:outlineLvl w:val="5"/>
    </w:pPr>
    <w:rPr>
      <w:i/>
      <w:iCs/>
      <w:color w:val="595959"/>
      <w:lang w:val="en-GB" w:eastAsia="en-GB" w:bidi="en-GB"/>
    </w:rPr>
  </w:style>
  <w:style w:type="paragraph" w:styleId="Heading7">
    <w:name w:val="heading 7"/>
    <w:basedOn w:val="Normal"/>
    <w:next w:val="Normal"/>
    <w:qFormat/>
    <w:pPr>
      <w:keepNext/>
      <w:keepLines/>
      <w:spacing w:before="40" w:after="0"/>
      <w:outlineLvl w:val="6"/>
    </w:pPr>
    <w:rPr>
      <w:color w:val="595959"/>
      <w:lang w:val="en-GB" w:eastAsia="en-GB" w:bidi="en-GB"/>
    </w:rPr>
  </w:style>
  <w:style w:type="paragraph" w:styleId="Heading8">
    <w:name w:val="heading 8"/>
    <w:basedOn w:val="Normal"/>
    <w:next w:val="Normal"/>
    <w:qFormat/>
    <w:pPr>
      <w:keepNext/>
      <w:keepLines/>
      <w:spacing w:after="0"/>
      <w:outlineLvl w:val="7"/>
    </w:pPr>
    <w:rPr>
      <w:i/>
      <w:iCs/>
      <w:color w:val="272727"/>
      <w:lang w:val="en-GB" w:eastAsia="en-GB" w:bidi="en-GB"/>
    </w:rPr>
  </w:style>
  <w:style w:type="paragraph" w:styleId="Heading9">
    <w:name w:val="heading 9"/>
    <w:basedOn w:val="Normal"/>
    <w:next w:val="Normal"/>
    <w:qFormat/>
    <w:pPr>
      <w:keepNext/>
      <w:keepLines/>
      <w:spacing w:after="0"/>
      <w:outlineLvl w:val="8"/>
    </w:pPr>
    <w:rPr>
      <w:color w:val="272727"/>
      <w:lang w:val="en-GB" w:eastAsia="en-GB" w:bidi="en-GB"/>
    </w:rPr>
  </w:style>
  <w:style w:type="character" w:styleId="Heading 1 Char" w:customStyle="1">
    <w:name w:val="Heading 1 Char"/>
    <w:qFormat/>
    <w:rPr>
      <w:rFonts w:ascii="Aptos Display" w:hAnsi="Aptos Display" w:eastAsia="Aptos Display" w:cs="Aptos Display"/>
      <w:color w:val="0F4761"/>
      <w:sz w:val="40"/>
      <w:szCs w:val="40"/>
      <w:rtl w:val="off"/>
    </w:rPr>
  </w:style>
  <w:style w:type="character" w:styleId="Heading 2 Char" w:customStyle="1">
    <w:name w:val="Heading 2 Char"/>
    <w:qFormat/>
    <w:rPr>
      <w:rFonts w:ascii="Aptos Display" w:hAnsi="Aptos Display" w:eastAsia="Aptos Display" w:cs="Aptos Display"/>
      <w:color w:val="0F4761"/>
      <w:sz w:val="32"/>
      <w:szCs w:val="32"/>
      <w:rtl w:val="off"/>
    </w:rPr>
  </w:style>
  <w:style w:type="character" w:styleId="Heading 3 Char" w:customStyle="1">
    <w:name w:val="Heading 3 Char"/>
    <w:qFormat/>
    <w:rPr>
      <w:color w:val="0F4761"/>
      <w:sz w:val="28"/>
      <w:szCs w:val="28"/>
      <w:rtl w:val="off"/>
    </w:rPr>
  </w:style>
  <w:style w:type="character" w:styleId="Heading 4 Char" w:customStyle="1">
    <w:name w:val="Heading 4 Char"/>
    <w:qFormat/>
    <w:rPr>
      <w:i/>
      <w:iCs/>
      <w:color w:val="0F4761"/>
      <w:rtl w:val="off"/>
    </w:rPr>
  </w:style>
  <w:style w:type="character" w:styleId="Heading 5 Char" w:customStyle="1">
    <w:name w:val="Heading 5 Char"/>
    <w:qFormat/>
    <w:rPr>
      <w:color w:val="0F4761"/>
      <w:rtl w:val="off"/>
    </w:rPr>
  </w:style>
  <w:style w:type="character" w:styleId="Heading 6 Char" w:customStyle="1">
    <w:name w:val="Heading 6 Char"/>
    <w:qFormat/>
    <w:rPr>
      <w:i/>
      <w:iCs/>
      <w:color w:val="595959"/>
      <w:rtl w:val="off"/>
    </w:rPr>
  </w:style>
  <w:style w:type="character" w:styleId="Heading 7 Char" w:customStyle="1">
    <w:name w:val="Heading 7 Char"/>
    <w:qFormat/>
    <w:rPr>
      <w:color w:val="595959"/>
      <w:rtl w:val="off"/>
    </w:rPr>
  </w:style>
  <w:style w:type="character" w:styleId="Heading 8 Char" w:customStyle="1">
    <w:name w:val="Heading 8 Char"/>
    <w:qFormat/>
    <w:rPr>
      <w:i/>
      <w:iCs/>
      <w:color w:val="272727"/>
      <w:rtl w:val="off"/>
    </w:rPr>
  </w:style>
  <w:style w:type="character" w:styleId="Heading 9 Char" w:customStyle="1">
    <w:name w:val="Heading 9 Char"/>
    <w:qFormat/>
    <w:rPr>
      <w:color w:val="272727"/>
      <w:rtl w:val="off"/>
    </w:rPr>
  </w:style>
  <w:style w:type="paragraph" w:styleId="Title">
    <w:name w:val="Title"/>
    <w:basedOn w:val="Normal"/>
    <w:next w:val="Normal"/>
    <w:qFormat/>
    <w:pPr>
      <w:spacing w:after="80" w:line="240" w:lineRule="auto"/>
    </w:pPr>
    <w:rPr>
      <w:rFonts w:ascii="Aptos Display" w:hAnsi="Aptos Display" w:eastAsia="Aptos Display" w:cs="Aptos Display"/>
      <w:spacing w:val="-10"/>
      <w:sz w:val="56"/>
      <w:szCs w:val="56"/>
      <w:lang w:val="en-GB" w:eastAsia="en-GB" w:bidi="en-GB"/>
    </w:rPr>
  </w:style>
  <w:style w:type="character" w:styleId="Title Char" w:customStyle="1">
    <w:name w:val="Title Char"/>
    <w:qFormat/>
    <w:rPr>
      <w:rFonts w:ascii="Aptos Display" w:hAnsi="Aptos Display" w:eastAsia="Aptos Display" w:cs="Aptos Display"/>
      <w:spacing w:val="-10"/>
      <w:sz w:val="56"/>
      <w:szCs w:val="56"/>
      <w:rtl w:val="off"/>
    </w:rPr>
  </w:style>
  <w:style w:type="paragraph" w:styleId="Subtitle">
    <w:name w:val="Subtitle"/>
    <w:basedOn w:val="Normal"/>
    <w:next w:val="Normal"/>
    <w:qFormat/>
    <w:pPr/>
    <w:rPr>
      <w:color w:val="595959"/>
      <w:spacing w:val="15"/>
      <w:sz w:val="28"/>
      <w:szCs w:val="28"/>
      <w:lang w:val="en-GB" w:eastAsia="en-GB" w:bidi="en-GB"/>
    </w:rPr>
  </w:style>
  <w:style w:type="character" w:styleId="Subtitle Char" w:customStyle="1">
    <w:name w:val="Subtitle Char"/>
    <w:qFormat/>
    <w:rPr>
      <w:color w:val="595959"/>
      <w:spacing w:val="15"/>
      <w:sz w:val="28"/>
      <w:szCs w:val="28"/>
      <w:rtl w:val="off"/>
    </w:rPr>
  </w:style>
  <w:style w:type="paragraph" w:styleId="Quote">
    <w:name w:val="Quote"/>
    <w:basedOn w:val="Normal"/>
    <w:next w:val="Normal"/>
    <w:qFormat/>
    <w:pPr>
      <w:spacing w:before="160"/>
      <w:jc w:val="center"/>
    </w:pPr>
    <w:rPr>
      <w:i/>
      <w:iCs/>
      <w:color w:val="404040"/>
      <w:lang w:val="en-GB" w:eastAsia="en-GB" w:bidi="en-GB"/>
    </w:rPr>
  </w:style>
  <w:style w:type="character" w:styleId="Quote Char" w:customStyle="1">
    <w:name w:val="Quote Char"/>
    <w:qFormat/>
    <w:rPr>
      <w:i/>
      <w:iCs/>
      <w:color w:val="404040"/>
      <w:rtl w:val="off"/>
    </w:rPr>
  </w:style>
  <w:style w:type="character" w:styleId="IntenseEmphasis">
    <w:name w:val="Intense Emphasis"/>
    <w:qFormat/>
    <w:rPr>
      <w:i/>
      <w:iCs/>
      <w:color w:val="0F4761"/>
      <w:rtl w:val="off"/>
    </w:rPr>
  </w:style>
  <w:style w:type="paragraph" w:styleId="IntenseQuote">
    <w:name w:val="Intense Quote"/>
    <w:basedOn w:val="Normal"/>
    <w:next w:val="Normal"/>
    <w:qFormat/>
    <w:pPr>
      <w:pBdr>
        <w:top w:val="single" w:sz="4" w:space="10" w:color="0F4761"/>
        <w:left w:val="none"/>
        <w:bottom w:val="single" w:sz="4" w:space="10" w:color="0F4761"/>
        <w:right w:val="none"/>
        <w:between w:val="single" w:sz="4" w:space="10" w:color="0F4761"/>
      </w:pBdr>
      <w:spacing w:before="360" w:after="360"/>
      <w:ind w:left="864" w:right="864"/>
      <w:jc w:val="center"/>
    </w:pPr>
    <w:rPr>
      <w:i/>
      <w:iCs/>
      <w:color w:val="0F4761"/>
      <w:lang w:val="en-GB" w:eastAsia="en-GB" w:bidi="en-GB"/>
    </w:rPr>
  </w:style>
  <w:style w:type="character" w:styleId="Intense Quote Char" w:customStyle="1">
    <w:name w:val="Intense Quote Char"/>
    <w:qFormat/>
    <w:rPr>
      <w:i/>
      <w:iCs/>
      <w:color w:val="0F4761"/>
      <w:rtl w:val="off"/>
    </w:rPr>
  </w:style>
  <w:style w:type="character" w:styleId="IntenseReference">
    <w:name w:val="Intense Reference"/>
    <w:qFormat/>
    <w:rPr>
      <w:b/>
      <w:bCs/>
      <w:caps w:val="off"/>
      <w:smallCaps/>
      <w:color w:val="0F4761"/>
      <w:spacing w:val="5"/>
      <w:rtl w:val="off"/>
    </w:rPr>
  </w:style>
</w:styles>
</file>

<file path=word/_rels/document.xml.rels><?xml version="1.0" encoding="UTF-8" standalone="yes"?><Relationships xmlns="http://schemas.openxmlformats.org/package/2006/relationships">
	<Relationship Id="rId00004" Type="http://schemas.openxmlformats.org/officeDocument/2006/relationships/styles" Target="styles.xml"/>
	<Relationship Id="rId00005" Type="http://schemas.openxmlformats.org/officeDocument/2006/relationships/numbering" Target="numbering.xml"/>
	<Relationship Id="rId00006" Type="http://schemas.openxmlformats.org/officeDocument/2006/relationships/fontTable" Target="fontTable.xml"/>
	<Relationship Id="rId0000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 Marsden</dc:creator>
  <dcterms:created xsi:type="dcterms:W3CDTF">2026-07-03T12:58:00Z</dcterms:created>
</cp:coreProperties>
</file>