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b/>
          <w:bCs/>
          <w:lang w:val="en-GB" w:eastAsia="en-GB" w:bidi="en-GB"/>
        </w:rPr>
        <w:t xml:space="preserve">Swyddog Prosiect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u w:val="single"/>
          <w:lang w:val="en-GB" w:eastAsia="en-GB" w:bidi="en-GB"/>
        </w:rPr>
      </w:pPr>
      <w:r>
        <w:rPr>
          <w:rFonts w:ascii="Times New Roman" w:hAnsi="Times New Roman" w:eastAsia="Times New Roman" w:cs="Times New Roman"/>
          <w:b/>
          <w:bCs/>
          <w:lang w:val="en-GB" w:eastAsia="en-GB" w:bidi="en-GB"/>
        </w:rPr>
        <w:t xml:space="preserve">Diben y Swydd</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Cefnogi'r Brifysgol ym mhrosiect Omeg y Nodau Iechyd Meddwl gyda chyfrifoldebau gweinyddol, ariannol ac adrodd. Bydd gofyn i chi hefyd wneud gwaith ategol, gan ddarparu cyngor, arweiniad a chymorth, ac arwain prosiectau o fewn y Ganolfan.</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b/>
          <w:bCs/>
          <w:u w:val="single"/>
          <w:lang w:val="en-GB" w:eastAsia="en-GB" w:bidi="en-GB"/>
        </w:rPr>
        <w:t xml:space="preserve">Dyletswyddau a Chyfrifoldebau</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u w:val="single"/>
          <w:lang w:val="en-GB" w:eastAsia="en-GB" w:bidi="en-GB"/>
        </w:rPr>
        <w:t xml:space="preserve">Prif Ddyletswyddau</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    Darparu cyngor ac arweiniad proffesiynol ar brosesau a gweithdrefnau gweinyddol ac ariannol i gwsmeriaid mewnol ac allanol, gan ddefnyddio barn a chreadigrwydd i awgrymu'r ffordd fwyaf priodol o weithredu lle bo'n briodol, a sicrhau bod materion cymhleth a chysyniadol yn cael eu deall</w:t>
        <w:br w:type="textWrapping"/>
      </w:r>
      <w:r>
        <w:rPr>
          <w:rFonts w:ascii="Times New Roman" w:hAnsi="Times New Roman" w:eastAsia="Times New Roman" w:cs="Times New Roman"/>
          <w:lang w:val="en-GB" w:eastAsia="en-GB" w:bidi="en-GB"/>
        </w:rPr>
        <w:t xml:space="preserve">•    Ymchwilio a dadansoddi problemau penodol sy'n ymwneud a phrosiect Omeg y Nodau Iechyd Meddwl, gan greu adroddiadau ag argymhellion, a gefnogir gan ddatblygiadau yn y maes ymchwil hwn.</w:t>
        <w:br w:type="textWrapping"/>
      </w:r>
      <w:r>
        <w:rPr>
          <w:rFonts w:ascii="Times New Roman" w:hAnsi="Times New Roman" w:eastAsia="Times New Roman" w:cs="Times New Roman"/>
          <w:lang w:val="en-GB" w:eastAsia="en-GB" w:bidi="en-GB"/>
        </w:rPr>
        <w:t xml:space="preserve">•    Sicrhau bod darpariaeth y cymorth gweinyddol a phrosiectau yn cael ei gyflwyno i'r sefydliad, gan newid y cyflenwad yn rhagweithiol yn unol â gofynion y cwsmer</w:t>
        <w:br w:type="textWrapping"/>
      </w:r>
      <w:r>
        <w:rPr>
          <w:rFonts w:ascii="Times New Roman" w:hAnsi="Times New Roman" w:eastAsia="Times New Roman" w:cs="Times New Roman"/>
          <w:lang w:val="en-GB" w:eastAsia="en-GB" w:bidi="en-GB"/>
        </w:rPr>
        <w:t xml:space="preserve">•    Cydweithio ag eraill i argymell ffyrdd o ddatblygu prosesau a gweithdrefnau sefydledig</w:t>
        <w:br w:type="textWrapping"/>
      </w:r>
      <w:r>
        <w:rPr>
          <w:rFonts w:ascii="Times New Roman" w:hAnsi="Times New Roman" w:eastAsia="Times New Roman" w:cs="Times New Roman"/>
          <w:lang w:val="en-GB" w:eastAsia="en-GB" w:bidi="en-GB"/>
        </w:rPr>
        <w:t xml:space="preserve">•    Meithrin perthynas waith gyda chysylltiadau pwysig, datblygu cysylltiadau cyfathrebu addas â thîm rheoli a gweinyddol y gyfadran, Ysgolion a Chyfarwyddaethau ehangach y Brifysgol a chyrff allanol yn ôl y galw.</w:t>
        <w:br w:type="textWrapping"/>
      </w:r>
      <w:r>
        <w:rPr>
          <w:rFonts w:ascii="Times New Roman" w:hAnsi="Times New Roman" w:eastAsia="Times New Roman" w:cs="Times New Roman"/>
          <w:lang w:val="en-GB" w:eastAsia="en-GB" w:bidi="en-GB"/>
        </w:rPr>
        <w:t xml:space="preserve">•    Goruchwylio prosiectau penodol yn achlysurol i gyflawni amcanion allweddol</w:t>
        <w:br w:type="textWrapping"/>
      </w:r>
      <w:r>
        <w:rPr>
          <w:rFonts w:ascii="Times New Roman" w:hAnsi="Times New Roman" w:eastAsia="Times New Roman" w:cs="Times New Roman"/>
          <w:lang w:val="en-GB" w:eastAsia="en-GB" w:bidi="en-GB"/>
        </w:rPr>
        <w:t xml:space="preserve">•    Datblygu a chyflwyno hyfforddiant o fewn prosesau cymorth prosiect a materion gweinyddol/ariannol</w:t>
        <w:br w:type="textWrapping"/>
      </w:r>
      <w:r>
        <w:rPr>
          <w:rFonts w:ascii="Times New Roman" w:hAnsi="Times New Roman" w:eastAsia="Times New Roman" w:cs="Times New Roman"/>
          <w:lang w:val="en-GB" w:eastAsia="en-GB" w:bidi="en-GB"/>
        </w:rPr>
        <w:t xml:space="preserve">•    Ymgymryd ag amrywiaeth o ddyletswyddau gweinyddol i gefnogi'r adran gan gynnwys rheoli prosesau ar gyfer sefydlu contractau a chytundebau newydd, monitro a rheoli ariannol, adrodd ar y prosiect a chefnogi Rheolwr y Prosiect i sicrhau bod y prosiect yn rhedeg yn ddidrafferth.</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b/>
          <w:bCs/>
          <w:u w:val="single"/>
          <w:lang w:val="en-GB" w:eastAsia="en-GB" w:bidi="en-GB"/>
        </w:rPr>
        <w:t xml:space="preserve">Dyletswyddau Cyffredinol</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    Sicrhau eich bod yn deall pwysigrwydd cyfrinachedd wrth gyflawni pob dyletswydd</w:t>
        <w:br w:type="textWrapping"/>
      </w:r>
      <w:r>
        <w:rPr>
          <w:rFonts w:ascii="Times New Roman" w:hAnsi="Times New Roman" w:eastAsia="Times New Roman" w:cs="Times New Roman"/>
          <w:lang w:val="en-GB" w:eastAsia="en-GB" w:bidi="en-GB"/>
        </w:rPr>
        <w:t xml:space="preserve">•    Cadw at bolisïau’r Brifysgol o ran Iechyd a Diogelwch a Chydraddoldeb ac Amrywiaeth.</w:t>
        <w:br w:type="textWrapping"/>
      </w:r>
      <w:r>
        <w:rPr>
          <w:rFonts w:ascii="Times New Roman" w:hAnsi="Times New Roman" w:eastAsia="Times New Roman" w:cs="Times New Roman"/>
          <w:lang w:val="en-GB" w:eastAsia="en-GB" w:bidi="en-GB"/>
        </w:rPr>
        <w:t xml:space="preserve">•    Cyflawni dyletswyddau eraill o bryd i'w gilydd nad ydynt wedi’u nodi uchod ond sy’n cyd-fynd â gofynion y swydd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Meini Prawf Hanfodol </w:t>
      </w:r>
      <w:r>
        <w:rPr>
          <w:rFonts w:ascii="Times New Roman" w:hAnsi="Times New Roman" w:eastAsia="Times New Roman" w:cs="Times New Roman"/>
          <w:lang w:val="en-GB" w:eastAsia="en-GB" w:bidi="en-GB"/>
        </w:rPr>
        <w:br w:type="textWrapping"/>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b/>
          <w:bCs/>
          <w:lang w:val="en-GB" w:eastAsia="en-GB" w:bidi="en-GB"/>
        </w:rPr>
      </w:pPr>
      <w:r>
        <w:rPr>
          <w:rFonts w:ascii="Times New Roman" w:hAnsi="Times New Roman" w:eastAsia="Times New Roman" w:cs="Times New Roman"/>
          <w:u w:val="single"/>
          <w:lang w:val="en-GB" w:eastAsia="en-GB" w:bidi="en-GB"/>
        </w:rPr>
        <w:t xml:space="preserve">Cymwysterau ac Addysg</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1.    Gradd/cymhwyster NVQ Lefel 4 neu aelodaeth/profiad proffesiynol cyfatebol</w:t>
        <w:br w:type="textWrapping"/>
      </w:r>
      <w:r>
        <w:rPr>
          <w:rFonts w:ascii="Times New Roman" w:hAnsi="Times New Roman" w:eastAsia="Times New Roman" w:cs="Times New Roman"/>
          <w:lang w:val="en-GB" w:eastAsia="en-GB" w:bidi="en-GB"/>
        </w:rPr>
        <w:t xml:space="preserve">Gwybodaeth, Sgiliau a Phrofiad</w:t>
        <w:br w:type="textWrapping"/>
      </w:r>
      <w:r>
        <w:rPr>
          <w:rFonts w:ascii="Times New Roman" w:hAnsi="Times New Roman" w:eastAsia="Times New Roman" w:cs="Times New Roman"/>
          <w:lang w:val="en-GB" w:eastAsia="en-GB" w:bidi="en-GB"/>
        </w:rPr>
        <w:t xml:space="preserve">2.    Profiad sylweddol o weithio mewn tîm gweinyddol a darparu cymorth prosiect, gan gynnwys cymorth a rheolaeth ariannol.</w:t>
        <w:br w:type="textWrapping"/>
      </w:r>
      <w:r>
        <w:rPr>
          <w:rFonts w:ascii="Times New Roman" w:hAnsi="Times New Roman" w:eastAsia="Times New Roman" w:cs="Times New Roman"/>
          <w:lang w:val="en-GB" w:eastAsia="en-GB" w:bidi="en-GB"/>
        </w:rPr>
        <w:t xml:space="preserve">3.    Gallu dangos gwybodaeth broffesiynol o fewn disgyblaeth arbenigol er mwyn rhoi cyngor ac arweiniad i gwsmeriaid mewnol ac allanol.  </w:t>
        <w:br w:type="textWrapping"/>
      </w:r>
      <w:r>
        <w:rPr>
          <w:rFonts w:ascii="Times New Roman" w:hAnsi="Times New Roman" w:eastAsia="Times New Roman" w:cs="Times New Roman"/>
          <w:lang w:val="en-GB" w:eastAsia="en-GB" w:bidi="en-GB"/>
        </w:rPr>
        <w:t xml:space="preserve">4.    Y gallu i sefydlu systemau a gweithdrefnau swyddfa safonol a gwneud gwelliannau fel sy’n briodol</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u w:val="single"/>
          <w:lang w:val="en-GB" w:eastAsia="en-GB" w:bidi="en-GB"/>
        </w:rPr>
        <w:t xml:space="preserve">Gwasanaethu Cwsmeriaid, Cyfathrebu a Gweithio’n Rhan o Dîm</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5.    Y gallu i gyfleu gwybodaeth gysyniadol fanwl a chymhleth yn effeithiol ac yn broffesiynol i ystod eang o bobl</w:t>
        <w:br w:type="textWrapping"/>
      </w:r>
      <w:r>
        <w:rPr>
          <w:rFonts w:ascii="Times New Roman" w:hAnsi="Times New Roman" w:eastAsia="Times New Roman" w:cs="Times New Roman"/>
          <w:lang w:val="en-GB" w:eastAsia="en-GB" w:bidi="en-GB"/>
        </w:rPr>
        <w:t xml:space="preserve">6.    Tystiolaeth o’r gallu i ystyried anghenion cwsmeriaid ac addasu'r gwasanaeth yn briodol er mwyn cyflwyno gwasanaeth o safon</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u w:val="single"/>
          <w:lang w:val="en-GB" w:eastAsia="en-GB" w:bidi="en-GB"/>
        </w:rPr>
        <w:t xml:space="preserve">Cynllunio, Dadansoddi a Datrys Problemau</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7.    Tystiolaeth o’r gallu i ddatrys problemau eang drwy gymryd y cam cyntaf a bod yn greadigol; nodi a chynnig atebion ymarferol a datrys problemau lle gallai’r canlyniadau amrywio.</w:t>
        <w:br w:type="textWrapping"/>
      </w:r>
      <w:r>
        <w:rPr>
          <w:rFonts w:ascii="Times New Roman" w:hAnsi="Times New Roman" w:eastAsia="Times New Roman" w:cs="Times New Roman"/>
          <w:lang w:val="en-GB" w:eastAsia="en-GB" w:bidi="en-GB"/>
        </w:rPr>
        <w:t xml:space="preserve">8.    Tystiolaeth o’r gallu i weithio heb oruchwyliaeth hyd derfynau amser, a chynllunio a phennu blaenoriaethau ar gyfer eich gwaith eich hun a gwaith pobl eraill, yn ogystal â monitro’r cynnydd.</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u w:val="single"/>
          <w:lang w:val="en-GB" w:eastAsia="en-GB" w:bidi="en-GB"/>
        </w:rPr>
        <w:t xml:space="preserve">Arall</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10.    Parodrwydd i hyfforddi a datblygu ymhellach</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b/>
          <w:bCs/>
          <w:lang w:val="en-GB" w:eastAsia="en-GB" w:bidi="en-GB"/>
        </w:rPr>
        <w:t xml:space="preserve">Meini Prawf Dymunol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lang w:val="en-GB" w:eastAsia="en-GB" w:bidi="en-GB"/>
        </w:rPr>
        <w:t xml:space="preserve">1.    Cymhwyster ôl-raddedig/proffesiynol</w:t>
        <w:br w:type="textWrapping"/>
      </w:r>
      <w:r>
        <w:rPr>
          <w:rFonts w:ascii="Times New Roman" w:hAnsi="Times New Roman" w:eastAsia="Times New Roman" w:cs="Times New Roman"/>
          <w:lang w:val="en-GB" w:eastAsia="en-GB" w:bidi="en-GB"/>
        </w:rPr>
        <w:t xml:space="preserve">2.    Profiad o weithio ym maes addysg uwch</w:t>
        <w:br w:type="textWrapping"/>
      </w:r>
      <w:r>
        <w:rPr>
          <w:rFonts w:ascii="Times New Roman" w:hAnsi="Times New Roman" w:eastAsia="Times New Roman" w:cs="Times New Roman"/>
          <w:lang w:val="en-GB" w:eastAsia="en-GB" w:bidi="en-GB"/>
        </w:rPr>
        <w:t xml:space="preserve">3.    Rhuglder yn y Gymraeg, yn ysgrifenedig ac ar lafar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r>
        <w:rPr>
          <w:rFonts w:ascii="Times New Roman" w:hAnsi="Times New Roman" w:eastAsia="Times New Roman" w:cs="Times New Roman"/>
          <w:b/>
          <w:bCs/>
          <w:lang w:val="en-GB" w:eastAsia="en-GB" w:bidi="en-GB"/>
        </w:rPr>
        <w:t xml:space="preserve">PWYSIG: Meini Prawf Tystiolaeth</w:t>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Polisi’r Ysgol Meddygaeth yw defnyddio manyleb yr unigolyn yn adnodd allweddol wrth ddethol ymgeiswyr ar gyfer y rhestr fer. Dylai ymgeiswyr ddangos tystiolaeth eu bod yn bodloni POB UN o’r meini prawf hanfodol, yn ogystal â’r rhai dymunol pan fo’n berthnasol. Yn rhan o’r broses ymgeisio, gofynnir ichi roi’r dystiolaeth hon ar ffurf datganiad ategol.</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Wrth gyflwyno'r ddogfen hon neu ei hatodi wrth broffil eich cais, cofiwch roi cyfeirnod y swydd wag yn nheitl y ddogfen.</w:t>
        <w:br w:type="textWrapping"/>
      </w:r>
      <w:r>
        <w:rPr>
          <w:rFonts w:ascii="Times New Roman" w:hAnsi="Times New Roman" w:eastAsia="Times New Roman" w:cs="Times New Roman"/>
          <w:lang w:val="en-GB" w:eastAsia="en-GB" w:bidi="en-GB"/>
        </w:rPr>
        <w:br w:type="textWrapping"/>
      </w:r>
      <w:r>
        <w:rPr>
          <w:rFonts w:ascii="Times New Roman" w:hAnsi="Times New Roman" w:eastAsia="Times New Roman" w:cs="Times New Roman"/>
          <w:lang w:val="en-GB" w:eastAsia="en-GB" w:bidi="en-GB"/>
        </w:rPr>
        <w:t xml:space="preserve">Os na fydd ymgeiswyr yn cyflwyno tystiolaeth ysgrifenedig sy’n dangos eu bod yn bodloni pob un o’r meini prawf hanfodol, ni fyddwn yn ymdrin â’u cais ymhellach. Mae’r Ysgol Meddygaeth yn croesawu CVs i gyd-fynd â thystiolaeth bod meini prawf y swydd wedi’u bodloni.</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eastAsia="Times New Roman" w:cs="Times New Roman"/>
          <w:lang w:val="en-GB" w:eastAsia="en-GB" w:bidi="en-GB"/>
        </w:rPr>
      </w:pPr>
    </w:p>
    <w:sectPr>
      <w:pgSz w:w="11906" w:h="16838"/>
      <w:pgMar w:top="1440" w:right="1440" w:bottom="1440" w:left="1440" w:header="708" w:footer="708"/>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Aptos">
    <w:charset w:val="00"/>
    <w:family w:val="swiss"/>
    <w:pitch w:val="variable"/>
  </w:font>
  <w:font w:name="Aptos Display">
    <w:charset w:val="00"/>
    <w:family w:val="swiss"/>
    <w:pitch w:val="variable"/>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160" w:line="278" w:lineRule="auto"/>
      <w:ind w:left="0" w:right="0" w:firstLine="0"/>
      <w:jc w:val="left"/>
      <w:outlineLvl w:val="9"/>
    </w:pPr>
    <w:rPr>
      <w:rFonts w:ascii="Aptos" w:hAnsi="Aptos" w:eastAsia="Aptos" w:cs="Aptos"/>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ing1">
    <w:name w:val="heading 1"/>
    <w:basedOn w:val="Normal"/>
    <w:next w:val="Normal"/>
    <w:qFormat/>
    <w:pPr>
      <w:keepNext/>
      <w:keepLines/>
      <w:spacing w:before="360" w:after="80"/>
      <w:outlineLvl w:val="0"/>
    </w:pPr>
    <w:rPr>
      <w:rFonts w:ascii="Aptos Display" w:hAnsi="Aptos Display" w:eastAsia="Aptos Display" w:cs="Aptos Display"/>
      <w:color w:val="0F4761"/>
      <w:sz w:val="40"/>
      <w:szCs w:val="40"/>
      <w:lang w:val="en-GB" w:eastAsia="en-GB" w:bidi="en-GB"/>
    </w:rPr>
  </w:style>
  <w:style w:type="paragraph" w:styleId="Heading2">
    <w:name w:val="heading 2"/>
    <w:basedOn w:val="Normal"/>
    <w:next w:val="Normal"/>
    <w:qFormat/>
    <w:pPr>
      <w:keepNext/>
      <w:keepLines/>
      <w:spacing w:before="160" w:after="80"/>
      <w:outlineLvl w:val="1"/>
    </w:pPr>
    <w:rPr>
      <w:rFonts w:ascii="Aptos Display" w:hAnsi="Aptos Display" w:eastAsia="Aptos Display" w:cs="Aptos Display"/>
      <w:color w:val="0F4761"/>
      <w:sz w:val="32"/>
      <w:szCs w:val="32"/>
      <w:lang w:val="en-GB" w:eastAsia="en-GB" w:bidi="en-GB"/>
    </w:rPr>
  </w:style>
  <w:style w:type="paragraph" w:styleId="Heading3">
    <w:name w:val="heading 3"/>
    <w:basedOn w:val="Normal"/>
    <w:next w:val="Normal"/>
    <w:qFormat/>
    <w:pPr>
      <w:keepNext/>
      <w:keepLines/>
      <w:spacing w:before="160" w:after="80"/>
      <w:outlineLvl w:val="2"/>
    </w:pPr>
    <w:rPr>
      <w:color w:val="0F4761"/>
      <w:sz w:val="28"/>
      <w:szCs w:val="28"/>
      <w:lang w:val="en-GB" w:eastAsia="en-GB" w:bidi="en-GB"/>
    </w:rPr>
  </w:style>
  <w:style w:type="paragraph" w:styleId="Heading4">
    <w:name w:val="heading 4"/>
    <w:basedOn w:val="Normal"/>
    <w:next w:val="Normal"/>
    <w:qFormat/>
    <w:pPr>
      <w:keepNext/>
      <w:keepLines/>
      <w:spacing w:before="80" w:after="40"/>
      <w:outlineLvl w:val="3"/>
    </w:pPr>
    <w:rPr>
      <w:i/>
      <w:iCs/>
      <w:color w:val="0F4761"/>
      <w:lang w:val="en-GB" w:eastAsia="en-GB" w:bidi="en-GB"/>
    </w:rPr>
  </w:style>
  <w:style w:type="paragraph" w:styleId="Heading5">
    <w:name w:val="heading 5"/>
    <w:basedOn w:val="Normal"/>
    <w:next w:val="Normal"/>
    <w:qFormat/>
    <w:pPr>
      <w:keepNext/>
      <w:keepLines/>
      <w:spacing w:before="80" w:after="40"/>
      <w:outlineLvl w:val="4"/>
    </w:pPr>
    <w:rPr>
      <w:color w:val="0F4761"/>
      <w:lang w:val="en-GB" w:eastAsia="en-GB" w:bidi="en-GB"/>
    </w:rPr>
  </w:style>
  <w:style w:type="paragraph" w:styleId="Heading6">
    <w:name w:val="heading 6"/>
    <w:basedOn w:val="Normal"/>
    <w:next w:val="Normal"/>
    <w:qFormat/>
    <w:pPr>
      <w:keepNext/>
      <w:keepLines/>
      <w:spacing w:before="40" w:after="0"/>
      <w:outlineLvl w:val="5"/>
    </w:pPr>
    <w:rPr>
      <w:i/>
      <w:iCs/>
      <w:color w:val="595959"/>
      <w:lang w:val="en-GB" w:eastAsia="en-GB" w:bidi="en-GB"/>
    </w:rPr>
  </w:style>
  <w:style w:type="paragraph" w:styleId="Heading7">
    <w:name w:val="heading 7"/>
    <w:basedOn w:val="Normal"/>
    <w:next w:val="Normal"/>
    <w:qFormat/>
    <w:pPr>
      <w:keepNext/>
      <w:keepLines/>
      <w:spacing w:before="40" w:after="0"/>
      <w:outlineLvl w:val="6"/>
    </w:pPr>
    <w:rPr>
      <w:color w:val="595959"/>
      <w:lang w:val="en-GB" w:eastAsia="en-GB" w:bidi="en-GB"/>
    </w:rPr>
  </w:style>
  <w:style w:type="paragraph" w:styleId="Heading8">
    <w:name w:val="heading 8"/>
    <w:basedOn w:val="Normal"/>
    <w:next w:val="Normal"/>
    <w:qFormat/>
    <w:pPr>
      <w:keepNext/>
      <w:keepLines/>
      <w:spacing w:after="0"/>
      <w:outlineLvl w:val="7"/>
    </w:pPr>
    <w:rPr>
      <w:i/>
      <w:iCs/>
      <w:color w:val="272727"/>
      <w:lang w:val="en-GB" w:eastAsia="en-GB" w:bidi="en-GB"/>
    </w:rPr>
  </w:style>
  <w:style w:type="paragraph" w:styleId="Heading9">
    <w:name w:val="heading 9"/>
    <w:basedOn w:val="Normal"/>
    <w:next w:val="Normal"/>
    <w:qFormat/>
    <w:pPr>
      <w:keepNext/>
      <w:keepLines/>
      <w:spacing w:after="0"/>
      <w:outlineLvl w:val="8"/>
    </w:pPr>
    <w:rPr>
      <w:color w:val="272727"/>
      <w:lang w:val="en-GB" w:eastAsia="en-GB" w:bidi="en-GB"/>
    </w:rPr>
  </w:style>
  <w:style w:type="character" w:styleId="Heading 1 Char" w:customStyle="1">
    <w:name w:val="Heading 1 Char"/>
    <w:qFormat/>
    <w:rPr>
      <w:rFonts w:ascii="Aptos Display" w:hAnsi="Aptos Display" w:eastAsia="Aptos Display" w:cs="Aptos Display"/>
      <w:color w:val="0F4761"/>
      <w:sz w:val="40"/>
      <w:szCs w:val="40"/>
      <w:rtl w:val="off"/>
    </w:rPr>
  </w:style>
  <w:style w:type="character" w:styleId="Heading 2 Char" w:customStyle="1">
    <w:name w:val="Heading 2 Char"/>
    <w:qFormat/>
    <w:rPr>
      <w:rFonts w:ascii="Aptos Display" w:hAnsi="Aptos Display" w:eastAsia="Aptos Display" w:cs="Aptos Display"/>
      <w:color w:val="0F4761"/>
      <w:sz w:val="32"/>
      <w:szCs w:val="32"/>
      <w:rtl w:val="off"/>
    </w:rPr>
  </w:style>
  <w:style w:type="character" w:styleId="Heading 3 Char" w:customStyle="1">
    <w:name w:val="Heading 3 Char"/>
    <w:qFormat/>
    <w:rPr>
      <w:color w:val="0F4761"/>
      <w:sz w:val="28"/>
      <w:szCs w:val="28"/>
      <w:rtl w:val="off"/>
    </w:rPr>
  </w:style>
  <w:style w:type="character" w:styleId="Heading 4 Char" w:customStyle="1">
    <w:name w:val="Heading 4 Char"/>
    <w:qFormat/>
    <w:rPr>
      <w:i/>
      <w:iCs/>
      <w:color w:val="0F4761"/>
      <w:rtl w:val="off"/>
    </w:rPr>
  </w:style>
  <w:style w:type="character" w:styleId="Heading 5 Char" w:customStyle="1">
    <w:name w:val="Heading 5 Char"/>
    <w:qFormat/>
    <w:rPr>
      <w:color w:val="0F4761"/>
      <w:rtl w:val="off"/>
    </w:rPr>
  </w:style>
  <w:style w:type="character" w:styleId="Heading 6 Char" w:customStyle="1">
    <w:name w:val="Heading 6 Char"/>
    <w:qFormat/>
    <w:rPr>
      <w:i/>
      <w:iCs/>
      <w:color w:val="595959"/>
      <w:rtl w:val="off"/>
    </w:rPr>
  </w:style>
  <w:style w:type="character" w:styleId="Heading 7 Char" w:customStyle="1">
    <w:name w:val="Heading 7 Char"/>
    <w:qFormat/>
    <w:rPr>
      <w:color w:val="595959"/>
      <w:rtl w:val="off"/>
    </w:rPr>
  </w:style>
  <w:style w:type="character" w:styleId="Heading 8 Char" w:customStyle="1">
    <w:name w:val="Heading 8 Char"/>
    <w:qFormat/>
    <w:rPr>
      <w:i/>
      <w:iCs/>
      <w:color w:val="272727"/>
      <w:rtl w:val="off"/>
    </w:rPr>
  </w:style>
  <w:style w:type="character" w:styleId="Heading 9 Char" w:customStyle="1">
    <w:name w:val="Heading 9 Char"/>
    <w:qFormat/>
    <w:rPr>
      <w:color w:val="272727"/>
      <w:rtl w:val="off"/>
    </w:rPr>
  </w:style>
  <w:style w:type="paragraph" w:styleId="Title">
    <w:name w:val="Title"/>
    <w:basedOn w:val="Normal"/>
    <w:next w:val="Normal"/>
    <w:qFormat/>
    <w:pPr>
      <w:spacing w:after="80" w:line="240" w:lineRule="auto"/>
    </w:pPr>
    <w:rPr>
      <w:rFonts w:ascii="Aptos Display" w:hAnsi="Aptos Display" w:eastAsia="Aptos Display" w:cs="Aptos Display"/>
      <w:spacing w:val="-10"/>
      <w:sz w:val="56"/>
      <w:szCs w:val="56"/>
      <w:lang w:val="en-GB" w:eastAsia="en-GB" w:bidi="en-GB"/>
    </w:rPr>
  </w:style>
  <w:style w:type="character" w:styleId="Title Char" w:customStyle="1">
    <w:name w:val="Title Char"/>
    <w:qFormat/>
    <w:rPr>
      <w:rFonts w:ascii="Aptos Display" w:hAnsi="Aptos Display" w:eastAsia="Aptos Display" w:cs="Aptos Display"/>
      <w:spacing w:val="-10"/>
      <w:sz w:val="56"/>
      <w:szCs w:val="56"/>
      <w:rtl w:val="off"/>
    </w:rPr>
  </w:style>
  <w:style w:type="paragraph" w:styleId="Subtitle">
    <w:name w:val="Subtitle"/>
    <w:basedOn w:val="Normal"/>
    <w:next w:val="Normal"/>
    <w:qFormat/>
    <w:pPr/>
    <w:rPr>
      <w:color w:val="595959"/>
      <w:spacing w:val="15"/>
      <w:sz w:val="28"/>
      <w:szCs w:val="28"/>
      <w:lang w:val="en-GB" w:eastAsia="en-GB" w:bidi="en-GB"/>
    </w:rPr>
  </w:style>
  <w:style w:type="character" w:styleId="Subtitle Char" w:customStyle="1">
    <w:name w:val="Subtitle Char"/>
    <w:qFormat/>
    <w:rPr>
      <w:color w:val="595959"/>
      <w:spacing w:val="15"/>
      <w:sz w:val="28"/>
      <w:szCs w:val="28"/>
      <w:rtl w:val="off"/>
    </w:rPr>
  </w:style>
  <w:style w:type="paragraph" w:styleId="Quote">
    <w:name w:val="Quote"/>
    <w:basedOn w:val="Normal"/>
    <w:next w:val="Normal"/>
    <w:qFormat/>
    <w:pPr>
      <w:spacing w:before="160"/>
      <w:jc w:val="center"/>
    </w:pPr>
    <w:rPr>
      <w:i/>
      <w:iCs/>
      <w:color w:val="404040"/>
      <w:lang w:val="en-GB" w:eastAsia="en-GB" w:bidi="en-GB"/>
    </w:rPr>
  </w:style>
  <w:style w:type="character" w:styleId="Quote Char" w:customStyle="1">
    <w:name w:val="Quote Char"/>
    <w:qFormat/>
    <w:rPr>
      <w:i/>
      <w:iCs/>
      <w:color w:val="404040"/>
      <w:rtl w:val="off"/>
    </w:rPr>
  </w:style>
  <w:style w:type="paragraph" w:styleId="ListParagraph">
    <w:name w:val="List Paragraph"/>
    <w:basedOn w:val="Normal"/>
    <w:next w:val="ListParagraph"/>
    <w:qFormat/>
    <w:pPr>
      <w:ind w:left="720"/>
    </w:pPr>
    <w:rPr>
      <w:lang w:val="en-GB" w:eastAsia="en-GB" w:bidi="en-GB"/>
    </w:rPr>
  </w:style>
  <w:style w:type="character" w:styleId="IntenseEmphasis">
    <w:name w:val="Intense Emphasis"/>
    <w:qFormat/>
    <w:rPr>
      <w:i/>
      <w:iCs/>
      <w:color w:val="0F4761"/>
      <w:rtl w:val="off"/>
    </w:rPr>
  </w:style>
  <w:style w:type="paragraph" w:styleId="IntenseQuote">
    <w:name w:val="Intense Quote"/>
    <w:basedOn w:val="Normal"/>
    <w:next w:val="Normal"/>
    <w:qFormat/>
    <w:pPr>
      <w:pBdr>
        <w:top w:val="single" w:sz="4" w:space="10" w:color="0F4761"/>
        <w:left w:val="none"/>
        <w:bottom w:val="single" w:sz="4" w:space="10" w:color="0F4761"/>
        <w:right w:val="none"/>
        <w:between w:val="single" w:sz="4" w:space="10" w:color="0F4761"/>
      </w:pBdr>
      <w:spacing w:before="360" w:after="360"/>
      <w:ind w:left="864" w:right="864"/>
      <w:jc w:val="center"/>
    </w:pPr>
    <w:rPr>
      <w:i/>
      <w:iCs/>
      <w:color w:val="0F4761"/>
      <w:lang w:val="en-GB" w:eastAsia="en-GB" w:bidi="en-GB"/>
    </w:rPr>
  </w:style>
  <w:style w:type="character" w:styleId="Intense Quote Char" w:customStyle="1">
    <w:name w:val="Intense Quote Char"/>
    <w:qFormat/>
    <w:rPr>
      <w:i/>
      <w:iCs/>
      <w:color w:val="0F4761"/>
      <w:rtl w:val="off"/>
    </w:rPr>
  </w:style>
  <w:style w:type="character" w:styleId="IntenseReference">
    <w:name w:val="Intense Reference"/>
    <w:qFormat/>
    <w:rPr>
      <w:b/>
      <w:bCs/>
      <w:caps w:val="off"/>
      <w:smallCaps/>
      <w:color w:val="0F4761"/>
      <w:spacing w:val="5"/>
      <w:rtl w:val="off"/>
    </w:rPr>
  </w:style>
</w:styles>
</file>

<file path=word/_rels/document.xml.rels><?xml version="1.0" encoding="UTF-8" standalone="yes"?><Relationships xmlns="http://schemas.openxmlformats.org/package/2006/relationships">
	<Relationship Id="rId00004" Type="http://schemas.openxmlformats.org/officeDocument/2006/relationships/styles" Target="styles.xml"/>
	<Relationship Id="rId00005" Type="http://schemas.openxmlformats.org/officeDocument/2006/relationships/fontTable" Target="fontTable.xml"/>
	<Relationship Id="rId0000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Towela Zimba</dc:creator>
  <dcterms:created xsi:type="dcterms:W3CDTF">2026-05-11T16:06:00Z</dcterms:created>
</cp:coreProperties>
</file>