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Prif swyddogaeth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Cyfrannu at ymchwil a dadansoddi yn y Ganolfan Ymchwil a Datblygu Gofal Cymdeithasol Plant (CASCADE) gyda ffocws penodol ar ysgrifennu cynigion.  Bydd y rôl hefyd yn cefnogi ac yn cyfrannu at berfformiad ymchwil cyffredinol yr Ysgol a'r Brifysgol, gan gynnal gwaith ymchwil o safon uchel i’w gyhoeddi mewn cyfnodolion. Dilyn rhagoriaeth mewn ymchwil ac ysbrydoli eraill i wneud yr un fath.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Prif Ddyletswyddau a Chyfrifoldebau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b/>
          <w:bCs/>
          <w:sz w:val="22"/>
          <w:szCs w:val="22"/>
          <w:lang w:val="cy-GB" w:eastAsia="cy-GB" w:bidi="cy-GB"/>
        </w:rPr>
      </w:pPr>
      <w:r>
        <w:rPr>
          <w:rFonts w:ascii="Calibri" w:hAnsi="Calibri" w:eastAsia="Calibri" w:cs="Calibri"/>
          <w:sz w:val="22"/>
          <w:szCs w:val="22"/>
          <w:lang w:val="en-GB" w:eastAsia="en-GB" w:bidi="en-GB"/>
        </w:rPr>
        <w:t xml:space="preserve">Cynnal gwaith ymchwil a dadansoddi yn y Ganolfan Ymchwil a Datblygu Gofal Cymdeithasol i Blant a chyfrannu at berfformiad ymchwil cyffredinol yr Ysgol a'r Brifysgol drwy gynhyrchu canlyniadau y gellir eu mesur gan gynnwys gwneud ceisiadau am gyllid, cyhoeddi mewn cynadleddau a chyfnodolion academaidd cenedlaethol, a recriwtio a goruchwylio myfyrwyr ymchwil ôl-raddedig.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b/>
          <w:bCs/>
          <w:sz w:val="22"/>
          <w:szCs w:val="22"/>
          <w:lang w:val="cy-GB" w:eastAsia="cy-GB" w:bidi="cy-GB"/>
        </w:rPr>
      </w:pPr>
      <w:r>
        <w:rPr>
          <w:rFonts w:ascii="Calibri" w:hAnsi="Calibri" w:eastAsia="Calibri" w:cs="Calibri"/>
          <w:sz w:val="22"/>
          <w:szCs w:val="22"/>
          <w:lang w:val="en-GB" w:eastAsia="en-GB" w:bidi="en-GB"/>
        </w:rPr>
        <w:t xml:space="preserve">Datblygu amcanion ymchwil a chynigion i brosiectau ymchwil annibynnol neu ar y cyd, gan gynnwys cynigion am gyllid ymchwil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b/>
          <w:bCs/>
          <w:sz w:val="22"/>
          <w:szCs w:val="22"/>
          <w:lang w:val="cy-GB" w:eastAsia="cy-GB" w:bidi="cy-GB"/>
        </w:rPr>
      </w:pPr>
      <w:r>
        <w:rPr>
          <w:rFonts w:ascii="Calibri" w:hAnsi="Calibri" w:eastAsia="Calibri" w:cs="Calibri"/>
          <w:sz w:val="22"/>
          <w:szCs w:val="22"/>
          <w:lang w:val="en-GB" w:eastAsia="en-GB" w:bidi="en-GB"/>
        </w:rPr>
        <w:t xml:space="preserve">Mynd i gynadleddau/seminarau lleol a chenedlaethol a/neu roi cyflwyniadau ynddynt yn ôl y gofyn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Cyflawni tasgau gweinyddol sy'n gysylltiedig â'r prosiect ymchwil, gan gynnwys cynllunio a threfnu'r prosiect a rhoi’r gweithdrefnau sydd eu hangen ar waith i sicrhau bod adroddiadau manwl gywir yn cael eu cyflwyno’n brydlon</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Paratoi ceisiadau moeseg ymchwil a llywodraethu ymchwil fel y bo'n briodol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Adolygu a chyfuno llenyddiaeth ymchwil gyfredol yn y maes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b/>
          <w:bCs/>
          <w:sz w:val="22"/>
          <w:szCs w:val="22"/>
          <w:lang w:val="cy-GB" w:eastAsia="cy-GB" w:bidi="cy-GB"/>
        </w:rPr>
      </w:pPr>
      <w:r>
        <w:rPr>
          <w:rFonts w:ascii="Calibri" w:hAnsi="Calibri" w:eastAsia="Calibri" w:cs="Calibri"/>
          <w:sz w:val="22"/>
          <w:szCs w:val="22"/>
          <w:lang w:val="en-GB" w:eastAsia="en-GB" w:bidi="en-GB"/>
        </w:rPr>
        <w:t xml:space="preserve">Cymryd rhan yng ngweithgareddau ymchwil yr Ysgol.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Datblygu a chreu rhwydweithiau yn y Brifysgol a’r tu hwnt iddi er mwyn dylanwadu ar benderfyniadau, ystyried gofynion ymchwil yn y dyfodol a rhannu syniadau ymchwil er budd prosiectau ymchwil</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Calibri" w:hAnsi="Calibri" w:eastAsia="Calibri" w:cs="Calibri"/>
          <w:b/>
          <w:bCs/>
          <w:sz w:val="22"/>
          <w:szCs w:val="22"/>
          <w:u w:val="single"/>
          <w:lang w:val="cy-GB" w:eastAsia="cy-GB" w:bidi="cy-GB"/>
        </w:rPr>
      </w:pPr>
      <w:r>
        <w:rPr>
          <w:rFonts w:ascii="Calibri" w:hAnsi="Calibri" w:eastAsia="Calibri" w:cs="Calibri"/>
          <w:sz w:val="22"/>
          <w:szCs w:val="22"/>
          <w:u w:val="single"/>
          <w:lang w:val="cy-GB" w:eastAsia="cy-GB" w:bidi="cy-GB"/>
        </w:rPr>
        <w:t xml:space="preserve">Arall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b/>
          <w:bCs/>
          <w:sz w:val="22"/>
          <w:szCs w:val="22"/>
          <w:lang w:val="cy-GB" w:eastAsia="cy-GB" w:bidi="cy-GB"/>
        </w:rPr>
      </w:pPr>
      <w:r>
        <w:rPr>
          <w:rFonts w:ascii="Calibri" w:hAnsi="Calibri" w:eastAsia="Calibri" w:cs="Calibri"/>
          <w:sz w:val="22"/>
          <w:szCs w:val="22"/>
          <w:lang w:val="cy-GB" w:eastAsia="cy-GB" w:bidi="cy-GB"/>
        </w:rPr>
        <w:t xml:space="preserve">Ymgysylltu’n effeithiol â chyrff diwydiannol, masnachol a chyhoeddus, sefydliadau proffesiynol, sefydliadau academaidd eraill ac ati, a hynny’n rhanbarthol ac yn genedlaethol, i godi proffil yr Ysgol, meithrin cynghreiriau strategol werthfawr a chwilio am gyfleoedd i gydweithio ar ystod o weithgareddau. Bydd disgwyl i'r gweithgareddau hyn gyfrannu at waith yr Ysgol a gwella ei phroffil rhanbarthol a chenedlaethol.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b/>
          <w:bCs/>
          <w:sz w:val="22"/>
          <w:szCs w:val="22"/>
          <w:lang w:val="cy-GB" w:eastAsia="cy-GB" w:bidi="cy-GB"/>
        </w:rPr>
      </w:pPr>
      <w:r>
        <w:rPr>
          <w:rFonts w:ascii="Calibri" w:hAnsi="Calibri" w:eastAsia="Calibri" w:cs="Calibri"/>
          <w:sz w:val="22"/>
          <w:szCs w:val="22"/>
          <w:lang w:val="cy-GB" w:eastAsia="cy-GB" w:bidi="cy-GB"/>
        </w:rPr>
        <w:t xml:space="preserve">Datblygu’n bersonol ac yn broffesiynol mewn modd priodol a fydd yn gwella perfformiad.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b/>
          <w:bCs/>
          <w:sz w:val="22"/>
          <w:szCs w:val="22"/>
          <w:lang w:val="cy-GB" w:eastAsia="cy-GB" w:bidi="cy-GB"/>
        </w:rPr>
      </w:pPr>
      <w:r>
        <w:rPr>
          <w:rFonts w:ascii="Calibri" w:hAnsi="Calibri" w:eastAsia="Calibri" w:cs="Calibri"/>
          <w:sz w:val="22"/>
          <w:szCs w:val="22"/>
          <w:lang w:val="cy-GB" w:eastAsia="cy-GB" w:bidi="cy-GB"/>
        </w:rPr>
        <w:t xml:space="preserve">Cymryd rhan yng ngweinyddiaeth a gweithgareddau'r Ysgol er mwyn hyrwyddo'r Ysgol a'i gwaith yn y Brifysgol a’r tu hwnt iddi</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cy-GB" w:eastAsia="cy-GB" w:bidi="cy-GB"/>
        </w:rPr>
        <w:t xml:space="preserve">Unrhyw ddyletswyddau eraill nad ydynt wedi’u nodi uchod ond sy’n cyd-fynd â’r swydd.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Manyleb yr Unigolyn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en-GB" w:eastAsia="en-GB" w:bidi="en-GB"/>
        </w:rPr>
      </w:pPr>
      <w:r>
        <w:rPr>
          <w:rFonts w:ascii="Calibri" w:hAnsi="Calibri" w:eastAsia="Calibri" w:cs="Calibri"/>
          <w:sz w:val="22"/>
          <w:szCs w:val="22"/>
          <w:u w:val="single"/>
          <w:lang w:val="en-GB" w:eastAsia="en-GB" w:bidi="en-GB"/>
        </w:rPr>
        <w:t xml:space="preserve">Meini Prawf Hanfodol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Gradd ôl-raddedig ar lefel PhD mewn maes cysylltiedig neu gyfatebol, neu brofiad diwydiannol perthnasol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Arbenigedd sefydledig a phortffolio ymchwil diamheuol a/neu brofiad diwydiannol perthnasol yn y maes ymchwil canlynol:</w:t>
      </w:r>
    </w:p>
    <w:p>
      <w:pPr>
        <w:pStyle w:val="ListParagraph"/>
        <w:numPr>
          <w:ilvl w:val="1"/>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Gofal cymdeithasol plant a/neu </w:t>
      </w:r>
    </w:p>
    <w:p>
      <w:pPr>
        <w:pStyle w:val="ListParagraph"/>
        <w:numPr>
          <w:ilvl w:val="1"/>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Ymchwil sy'n ymwneud ag anghydraddoldeb, ymarfer proffesiynol, perthnasoedd mewn gofal cymdeithasol plant neu newid sefydliadol a gwerthuso</w:t>
        <w:br w:type="textWrapping"/>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Gwybodaeth fanwl am ofal cymdeithasol plant, a all gynnwys profiad bywyd fel ymarferydd neu dderbyn gwasanaethau</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Gwybodaeth am statws cyfredol gwaith ymchwil mewn maes arbenigol gyda phrofiad o ddulliau ymchwil ansoddol a meintiau a'r gallu i amlinellu bylchau neu gyfleoedd ymchwil allweddol.</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en-GB" w:eastAsia="en-GB" w:bidi="en-GB"/>
        </w:rPr>
        <w:t xml:space="preserve">Gallu diamheuol i gyhoeddi mewn cyfnodolion cenedlaethol/rhyngwladol/cynadleddau cenedlaethol/rhyngwladol neu allbynnau ymchwil eraill</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Gwybodaeth a dealltwriaeth mewn perthynas â chyllid ymchwil cystadleuol er mwyn gallu paratoi ceisiadau i gyrff cyllido</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cy-GB" w:eastAsia="cy-GB" w:bidi="cy-GB"/>
        </w:rPr>
        <w:t xml:space="preserve">Y gallu diamheuol i gyfathrebu'n effeithiol ac yn argyhoeddiadol</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cy-GB" w:eastAsia="cy-GB" w:bidi="cy-GB"/>
        </w:rPr>
        <w:t xml:space="preserve">Ygallu i oruchwylio gwaith pobl eraill er mwyn rhoi ffocws i waith y tîm ac ysgogi unigolion</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cy-GB" w:eastAsia="cy-GB" w:bidi="cy-GB"/>
        </w:rPr>
        <w:t xml:space="preserve">Gallu diamheuol i fod yn greadigol ac yn arloesol a gweithio’n rhan o dîm yn y gwaith</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cy-GB" w:eastAsia="cy-GB" w:bidi="cy-GB"/>
        </w:rPr>
        <w:t xml:space="preserve">Gallu diamheuol i weithio heb oruchwyliaeth agos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u w:val="single"/>
          <w:lang w:val="cy-GB" w:eastAsia="cy-GB" w:bidi="cy-GB"/>
        </w:rPr>
      </w:pPr>
      <w:r>
        <w:rPr>
          <w:rFonts w:ascii="Calibri" w:hAnsi="Calibri" w:eastAsia="Calibri" w:cs="Calibri"/>
          <w:sz w:val="22"/>
          <w:szCs w:val="22"/>
          <w:u w:val="single"/>
          <w:lang w:val="cy-GB" w:eastAsia="cy-GB" w:bidi="cy-GB"/>
        </w:rPr>
        <w:t xml:space="preserve">Meini Prawf Dymunol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cy-GB" w:eastAsia="cy-GB" w:bidi="cy-GB"/>
        </w:rPr>
        <w:t xml:space="preserve">Tystiolaeth o gydweithio â maes ymarfer</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cy-GB" w:eastAsia="cy-GB" w:bidi="cy-GB"/>
        </w:rPr>
      </w:pPr>
      <w:r>
        <w:rPr>
          <w:rFonts w:ascii="Calibri" w:hAnsi="Calibri" w:eastAsia="Calibri" w:cs="Calibri"/>
          <w:sz w:val="22"/>
          <w:szCs w:val="22"/>
          <w:lang w:val="cy-GB" w:eastAsia="cy-GB" w:bidi="cy-GB"/>
        </w:rPr>
        <w:t xml:space="preserve">Gallu diamheuol i addasu i ofynion newidiol y gymuned addysg uwch.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cy-GB" w:eastAsia="cy-GB" w:bidi="cy-GB"/>
        </w:rPr>
        <w:t xml:space="preserve">Tystiolaeth o’r gallu i gyfrannu at rwydweithiau mewnol ac allanol, eu datblygu a'u defnyddio er mwyn gwella gweithgareddau ymchwil yr Ysgol.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Gwybodaeth ychwanegol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Ceir rhagor o wybodaeth am CASCADE – Canolfan Ymchwil a Datblygu Gofal Cymdeithasol Plant ar y wefan.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 cheir rhagor o wybodaeth am y meysydd blaenoriaeth strategol y bydd y rôl yn eu cefnogi isod;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Trosolwg o'r Blaenoriaethau Strategol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Mae CASCADE yn canolbwyntio ar bedwar maes blaenoriaeth sy'n cefnogi canlyniadau gwell i blant a theuluoedd. Mae'r meysydd hyn yn helpu i arwain gwaith ymchwil, ymgysylltu ac effaith.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Bydd pob blaenoriaeth yn ffocws penodol am chwarter o bob blwyddyn, er y byddant yn parhau i ddatblygu gwaith drwy gydol y flwyddyn.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Mae gennym rai egwyddorion trawsbynciol, gan gynnwys ymrwymiad i ragoriaeth ymchwil, cynnwys y cyhoedd yn ystyrlon a gweithio mewn cydweithrediad yn y sector a thu hwnt.</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b/>
          <w:bCs/>
          <w:color w:val="00B0F0"/>
          <w:sz w:val="22"/>
          <w:szCs w:val="22"/>
          <w:u w:val="single"/>
          <w:lang w:val="en-GB" w:eastAsia="en-GB" w:bidi="en-GB"/>
        </w:rPr>
        <w:t xml:space="preserve">Lleihau Anghydraddoldebau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Arweinydd: Martin Elliot</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1.1 Cylch Gwaith - Rydym yn archwilio sut mae ffactorau strwythurol, sefydliadol ac ymarferol yn llunio profiadau anghyfartal i blant a theuluoedd. Y nod yw deall, lleihau ac yn y pen draw ddileu anghydraddoldebau, a sicrhau bod yr ymchwil yn cynnwys ac yn tynnu sylw at leisiau na chânt eu clywed.</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1.2 Crynodeb o'r Ymchwil -Mae gan CASCADE arbenigedd cryf mewn defnyddio data gweinyddol i ddeall anghydraddoldebau, gan gynnwys astudiaethau pedair cenedl a dadansoddiadau o effeithiau ethnigrwydd, incwm ac amddifadedd. Rydym hefyd wedi dechrau gwaith ansoddol yn archwilio sut mae ymarfer yn ymateb i dlodi a phenderfynyddion cymdeithasol eraill.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1.3 Blaenoriaethau Ymgysylltu â'r Sector ac Effaith - Mae ein blaenoriaethau ar gyfer y flwyddyn nesaf yn ddeublyg. Yn gyntaf, sicrhau bod y negeseuon am anghydraddoldebau ar gyfer polisi ac ymarfer sy'n deillio o ymchwil y ganolfan yn fwy hygyrch drwy ddwyn ynghyd ganfyddiadau sy'n canolbwyntio ar anghydraddoldebau o bob rhan o'n gwaith yn flynyddol, drwy ddatblygu briff polisi sy'n canolbwyntio ar anghydraddoldebau a chynnal uwchgynhadledd gysylltiedig. Yn ail, cynnal ffocws ar ddatblygu ceisiadau am gyllid pellach i ymgymryd â gwaith ar anghydraddoldebau, a bod mwy o'r ceisiadau hynny'n cael eu datblygu ar y cyd ar draws disgyblaethau.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b/>
          <w:bCs/>
          <w:color w:val="00B0F0"/>
          <w:sz w:val="22"/>
          <w:szCs w:val="22"/>
          <w:u w:val="single"/>
          <w:lang w:val="en-GB" w:eastAsia="en-GB" w:bidi="en-GB"/>
        </w:rPr>
        <w:t xml:space="preserve">Cefnogi Perthnasoedd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Arweinydd: Lorna Stabler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2.1 Cylch Gwaith - Mae'r maes hwn yn canolbwyntio ar bwysigrwydd perthnasoedd cariadus, sefydlog a pharhaol i blant a theuluoedd. Rydym yn archwilio sut mae perthnasoedd yn cael eu ffurfio, eu cynnal a'u diogelu drwy gydol y cyfnod o ymwneud â gofal cymdeithasol.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2.2 Crynodeb o'r Ymchwil - Mae'r gwaith yn cwmpasu perthnasoedd teuluol, sefydlogrwydd perthnasoedd, a phrofiadau plant mewn gofal a thu hwnt. Rydym yn archwilio sut mae perthnasoedd yn creu hunaniaeth, lles a chanlyniadau hirdymor, a sut y gall gwasanaethau eu cefnogi. </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2.3 Blaenoriaethau Ymgysylltu â'r Sector ac Effaith - Byddwn yn cynhyrchu briff polisi blynyddol ar berthnasoedd ac yn cynnal digwyddiad i'r sector rannu canfyddiadau. Byddwn hefyd yn datblygu cynigion ariannu newydd ar sefydlogrwydd perthnasoedd, profiadau mewn gofal, ac ymarfer cyfranogol.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3. Cefnogi Ymarfer Gwych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Arweinydd: Rebecca Jones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3.1 Cylch Gwaith - Mae'r maes hwn yn canolbwyntio ar y sgiliau, y penderfyniadau a'r dulliau sy'n galluogi ymarferwyr i weithio'n effeithiol. Mae'n cwmpasu gwaith uniongyrchol, asesu, gwneud penderfyniadau ac offer sy'n dod i'r amlwg fel deallusrwydd artiffisial a gynlluniwyd i gefnogi ymarfer.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3.2 Crynodeb o'r Ymchwil - Rydym yn astudio cyfathrebu, gwaith uniongyrchol, MI a gwneud penderfyniadau. Rydym hefyd yn archwilio sut mae offer digidol yn dechrau llunio ymarfer a dysgu ar draws y gweithlu.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3.3 Blaenoriaethau Ymgysylltu â'r Sector ac Effaith - Byddwn yn syntheseiddio tystiolaeth ar waith uniongyrchol effeithiol ac yn ei rhannu drwy ddigwyddiadau sector. Byddwn yn dechrau rhoi sylw i'r hyn sy'n ymarfer da mewn gofal cymdeithasol plant, gan flaenoriaethu barn rhieni a'r rhai sydd â phrofiad uniongyrchol o'r system ofal. Bydd hyn yn cyd-fynd â chyhoeddiadau arfaethedig, ac yn cefnogi dysgu ehangach yn y gweithlu.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color w:val="00B0F0"/>
          <w:sz w:val="22"/>
          <w:szCs w:val="22"/>
          <w:u w:val="single"/>
          <w:lang w:val="en-GB" w:eastAsia="en-GB" w:bidi="en-GB"/>
        </w:rPr>
      </w:pPr>
      <w:r>
        <w:rPr>
          <w:rFonts w:ascii="Calibri" w:hAnsi="Calibri" w:eastAsia="Calibri" w:cs="Calibri"/>
          <w:b/>
          <w:bCs/>
          <w:color w:val="00B0F0"/>
          <w:sz w:val="22"/>
          <w:szCs w:val="22"/>
          <w:u w:val="single"/>
          <w:lang w:val="en-GB" w:eastAsia="en-GB" w:bidi="en-GB"/>
        </w:rPr>
        <w:t xml:space="preserve">4. Sefydliadau a Systemau Effeithiol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Arweinydd: Donald Forrester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4.1 Cylch Gwaith - Rydym yn archwilio sut mae arweinyddiaeth, diwylliant, systemau ac adnoddau’n llunio'r amodau ar gyfer ymarfer da. Mae sefydliadau cryf yn galluogi penderfyniadau hyderus, dysgu a gwelliant cynaliadwy.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4.2 Crynodeb o'r Ymchwil - Mae CASCADE yn astudio ailgynllunio gwasanaethau, datblygu'r gweithlu, gweithredu ac arloesi. Rydym yn ymchwilio sut mae ffactorau sefydliadol yn dylanwadu ar ansawdd ymarfer a sut mae modelau'n seiliedig ar dystiolaeth yn cael eu mabwysiadu a'u cynnal. Mae gennym arbenigedd penodol mewn gwerthuso'r hyn sy'n gweithio.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4.3 Blaenoriaethau Ymgysylltu â'r Sector ac Effaith - Mae’r ffocws eleni ar arweinyddiaeth. Byddwn yn datblygu gweithdai, partneriaethau ac offer sy'n cynorthwyo arweinwyr i ymdrin â chymhlethdod a chryfhau amodau sefydliadol ar gyfer ymarfer effeithiol.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b/>
          <w:bCs/>
          <w:sz w:val="22"/>
          <w:szCs w:val="22"/>
          <w:u w:val="single"/>
          <w:lang w:val="en-GB" w:eastAsia="en-GB" w:bidi="en-GB"/>
        </w:rPr>
      </w:pPr>
      <w:r>
        <w:rPr>
          <w:rFonts w:ascii="Calibri" w:hAnsi="Calibri" w:eastAsia="Calibri" w:cs="Calibri"/>
          <w:b/>
          <w:bCs/>
          <w:sz w:val="22"/>
          <w:szCs w:val="22"/>
          <w:u w:val="single"/>
          <w:lang w:val="en-GB" w:eastAsia="en-GB" w:bidi="en-GB"/>
        </w:rPr>
        <w:t xml:space="preserve">Canolfan Ymchwil a Datblygu Gofal Cymdeithasol Plant (CASCADE)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CASCADE yw'r ganolfan flaenllaw ar gyfer ymchwil gwerthuso ym maes gofal cymdeithasol plant yn y DU. Mae hefyd yn ganolfan ragoriaeth flaenllaw ym maes y gwyddorau cymdeithasol ac ymchwil addysg. Dyma'r unig ganolfan o'i math yng Nghymru, sy’n hyrwyddo tystiolaeth ac yn gwella canlyniadau i blant a theuluoedd. Mae’n ymwneud â phob agwedd ar ymatebion cymunedol i anghenion cymdeithasol plant a theuluoedd megis gwasanaethau cymorth i deuluoedd, gwasanaethau i blant anghenus, amddiffyn plant, plant o dan ofal a mabwysiadu. Ei nod pennaf yw gwella lles a diogelwch plant a'u teuluoedd trwy: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Creu tystiolaeth ymchwil sylfaenol o safon a gydnabyddir yn rhyngwladol.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Peri bod canlyniadau'r ymchwil hon, ac ymchwil gan eraill, ar ffurf hygyrch i blant a theuluoedd sy'n derbyn gwasanaethau gofal cymdeithasol, gweithwyr proffesiynol a llunwyr polisïau.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Datblygu capasiti ymchwil ar ofal cymdeithasol drwy gynnig cyfleoedd i ymchwilwyr, boed yn fyfyrwyr israddedig neu’n ymchwilwyr hŷn.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Ymgysylltu ag ystod o randdeiliaid ymchwil, gan gynnwys plant a phobl ifanc, rhieni a gofalwyr, ymarferwyr, llunwyr polisïau a darparwyr gofal cymdeithasol yn y sector gyhoeddus, breifat a'r trydydd sector.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Mae CASCADE yn cefnogi ac yn datblygu pobl drwy gydol eu gyrfaoedd, gan gynnwys arwain y genhedlaeth nesaf o arweinwyr ymchwil. Mae’n cynnwys y rhai sydd â phrofiad o dderbyn gwasanaethau yn ein holl waith mewn ffyrdd sy’n darparu canlyniadau, ac mae’n ymgysylltu â'r sector drwy ymdrechion parhaus ac ystyrlon i ddeall a defnyddio gwybodaeth ymchwil. Gwneir hyn nid yn unig trwy ein gwaith ymchwil, ond hefyd yn ymarferol drwy rannu gwybodaeth, cynnal hyfforddiant ac ymgysylltu â'r cyhoedd drwy ein prosiectau 'ExChange' a thîm cynnwys y cyhoedd, 'Lleisiau CASCADE' (CASCADE Voices.)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r>
        <w:rPr>
          <w:rFonts w:ascii="Calibri" w:hAnsi="Calibri" w:eastAsia="Calibri" w:cs="Calibri"/>
          <w:sz w:val="22"/>
          <w:szCs w:val="22"/>
          <w:lang w:val="en-GB" w:eastAsia="en-GB" w:bidi="en-GB"/>
        </w:rPr>
        <w:t xml:space="preserve">Mae CASCADE yn rhan o Ysgol y Gwyddorau Cymdeithasol Prifysgol Caerdydd. Mae'r Ysgol yn ganolfan addysgu ac ymchwil ryngddisgyblaethol. A chanddi gysylltiadau cryf â’r diwydiant a maes meddygaeth, ei nod yw arwain trafodaethau cyhoeddus a thrafodaethau ynghylch pholisïau drwy’r byd, ledled y wlad ac yn lleol, ac mae’n enwog am ei hysgolheictod arloesol ym maes y gwyddorau cymdeithasol a thu hwnt. Mae rhagor o fanylion am weithgareddau’r Ysgol ar ein tudalen hafan:  https://www.cardiff.ac.uk/cy/social-sciences.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sz w:val="22"/>
          <w:szCs w:val="22"/>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Aptos Display">
    <w:charset w:val="00"/>
    <w:family w:val="swiss"/>
    <w:pitch w:val="variable"/>
  </w:font>
  <w:font w:name="Calibri">
    <w:panose1 w:val="020F0502020204030204"/>
    <w:charset w:val="00"/>
    <w:family w:val="swiss"/>
    <w:pitch w:val="variable"/>
    <w:sig w:usb0="E4002EFF" w:usb1="C000247B" w:usb2="00000009" w:usb3="00000000" w:csb0="200001FF" w:csb1="0000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multilevel"/>
    <w:lvl w:ilvl="0">
      <w:start w:val="1"/>
      <w:numFmt w:val="decimal"/>
      <w:suff w:val="tab"/>
      <w:lvlText w:val="%1."/>
      <w:pPr>
        <w:ind w:left="720" w:hanging="360"/>
        <w:tabs>
          <w:tab w:val="num" w:pos="720"/>
        </w:tabs>
      </w:pPr>
      <w:rPr>
        <w:rFonts w:hint="default" w:ascii="Calibri" w:hAnsi="Calibri" w:eastAsia="Calibri" w:cs="Calibri"/>
        <w:b w:val="off"/>
        <w:i w:val="off"/>
        <w:strike w:val="off"/>
        <w:color w:val="auto"/>
        <w:position w:val="0"/>
        <w:sz w:val="22"/>
        <w:u w:val="none"/>
        <w:shd w:val="clear" w:color="auto" w:fill="auto"/>
      </w:rPr>
    </w:lvl>
    <w:lvl w:ilvl="1">
      <w:start w:val="1"/>
      <w:numFmt w:val="lowerLetter"/>
      <w:suff w:val="tab"/>
      <w:lvlText w:val="%2."/>
      <w:pPr>
        <w:ind w:left="1440" w:hanging="360"/>
        <w:tabs>
          <w:tab w:val="num" w:pos="1440"/>
        </w:tabs>
      </w:pPr>
      <w:rPr>
        <w:rFonts w:hint="default" w:ascii="Calibri" w:hAnsi="Calibri" w:eastAsia="Calibri" w:cs="Calibri"/>
        <w:b w:val="off"/>
        <w:i w:val="off"/>
        <w:strike w:val="off"/>
        <w:color w:val="auto"/>
        <w:position w:val="0"/>
        <w:sz w:val="22"/>
        <w:u w:val="none"/>
        <w:shd w:val="clear" w:color="auto" w:fill="auto"/>
      </w:rPr>
    </w:lvl>
    <w:lvl w:ilvl="2">
      <w:start w:val="1"/>
      <w:numFmt w:val="decimal"/>
      <w:suff w:val="tab"/>
      <w:lvlText w:val="%3."/>
      <w:pPr>
        <w:ind w:left="1080" w:hanging="360"/>
        <w:tabs>
          <w:tab w:val="num" w:pos="1080"/>
        </w:tabs>
      </w:pPr>
    </w:lvl>
    <w:lvl w:ilvl="3">
      <w:start w:val="1"/>
      <w:numFmt w:val="decimal"/>
      <w:suff w:val="tab"/>
      <w:lvlText w:val="%4."/>
      <w:pPr>
        <w:ind w:left="1440" w:hanging="360"/>
        <w:tabs>
          <w:tab w:val="num" w:pos="1440"/>
        </w:tabs>
      </w:pPr>
    </w:lvl>
    <w:lvl w:ilvl="4">
      <w:start w:val="1"/>
      <w:numFmt w:val="decimal"/>
      <w:suff w:val="tab"/>
      <w:lvlText w:val="%5."/>
      <w:pPr>
        <w:ind w:left="1800" w:hanging="360"/>
        <w:tabs>
          <w:tab w:val="num" w:pos="1800"/>
        </w:tabs>
      </w:pPr>
    </w:lvl>
    <w:lvl w:ilvl="5">
      <w:start w:val="1"/>
      <w:numFmt w:val="decimal"/>
      <w:suff w:val="tab"/>
      <w:lvlText w:val="%6."/>
      <w:pPr>
        <w:ind w:left="2160" w:hanging="360"/>
        <w:tabs>
          <w:tab w:val="num" w:pos="2160"/>
        </w:tabs>
      </w:pPr>
    </w:lvl>
    <w:lvl w:ilvl="6">
      <w:start w:val="1"/>
      <w:numFmt w:val="decimal"/>
      <w:suff w:val="tab"/>
      <w:lvlText w:val="%7."/>
      <w:pPr>
        <w:ind w:left="2520" w:hanging="360"/>
        <w:tabs>
          <w:tab w:val="num" w:pos="2520"/>
        </w:tabs>
      </w:pPr>
    </w:lvl>
    <w:lvl w:ilvl="7">
      <w:start w:val="1"/>
      <w:numFmt w:val="decimal"/>
      <w:suff w:val="tab"/>
      <w:lvlText w:val="%8."/>
      <w:pPr>
        <w:ind w:left="2880" w:hanging="360"/>
        <w:tabs>
          <w:tab w:val="num" w:pos="2880"/>
        </w:tabs>
      </w:pPr>
    </w:lvl>
    <w:lvl w:ilvl="8">
      <w:start w:val="1"/>
      <w:numFmt w:val="decimal"/>
      <w:suff w:val="tab"/>
      <w:lvlText w:val="%9."/>
      <w:pPr>
        <w:ind w:left="3240" w:hanging="360"/>
        <w:tabs>
          <w:tab w:val="num" w:pos="3240"/>
        </w:tabs>
      </w:pPr>
    </w:lvl>
  </w:abstractNum>
  <w:abstractNum w:abstractNumId="2">
    <w:multiLevelType w:val="singleLevel"/>
    <w:lvl w:ilvl="0">
      <w:start w:val="1"/>
      <w:numFmt w:val="decimal"/>
      <w:suff w:val="tab"/>
      <w:lvlText w:val="%1."/>
      <w:pPr>
        <w:ind w:left="720" w:hanging="360"/>
        <w:tabs>
          <w:tab w:val="num" w:pos="720"/>
        </w:tabs>
      </w:pPr>
      <w:rPr>
        <w:rFonts w:hint="default" w:ascii="Calibri" w:hAnsi="Calibri" w:eastAsia="Calibri" w:cs="Calibri"/>
        <w:b w:val="on"/>
        <w:i w:val="off"/>
        <w:strike w:val="off"/>
        <w:color w:val="00B0F0"/>
        <w:position w:val="0"/>
        <w:sz w:val="22"/>
        <w:u w:val="singl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78" w:lineRule="auto"/>
      <w:ind w:left="0" w:right="0" w:firstLine="0"/>
      <w:jc w:val="left"/>
      <w:outlineLvl w:val="9"/>
    </w:pPr>
    <w:rPr>
      <w:rFonts w:ascii="Aptos" w:hAnsi="Aptos" w:eastAsia="Aptos" w:cs="Aptos"/>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after="0"/>
      <w:outlineLvl w:val="5"/>
    </w:pPr>
    <w:rPr>
      <w:i/>
      <w:iCs/>
      <w:color w:val="595959"/>
      <w:lang w:val="en-GB" w:eastAsia="en-GB" w:bidi="en-GB"/>
    </w:rPr>
  </w:style>
  <w:style w:type="paragraph" w:styleId="Heading7">
    <w:name w:val="heading 7"/>
    <w:basedOn w:val="Normal"/>
    <w:next w:val="Normal"/>
    <w:qFormat/>
    <w:pPr>
      <w:keepNext/>
      <w:keepLines/>
      <w:spacing w:before="40" w:after="0"/>
      <w:outlineLvl w:val="6"/>
    </w:pPr>
    <w:rPr>
      <w:color w:val="595959"/>
      <w:lang w:val="en-GB" w:eastAsia="en-GB" w:bidi="en-GB"/>
    </w:rPr>
  </w:style>
  <w:style w:type="paragraph" w:styleId="Heading8">
    <w:name w:val="heading 8"/>
    <w:basedOn w:val="Normal"/>
    <w:next w:val="Normal"/>
    <w:qFormat/>
    <w:pPr>
      <w:keepNext/>
      <w:keepLines/>
      <w:spacing w:after="0"/>
      <w:outlineLvl w:val="7"/>
    </w:pPr>
    <w:rPr>
      <w:i/>
      <w:iCs/>
      <w:color w:val="272727"/>
      <w:lang w:val="en-GB" w:eastAsia="en-GB" w:bidi="en-GB"/>
    </w:rPr>
  </w:style>
  <w:style w:type="paragraph" w:styleId="Heading9">
    <w:name w:val="heading 9"/>
    <w:basedOn w:val="Normal"/>
    <w:next w:val="Normal"/>
    <w:qFormat/>
    <w:pPr>
      <w:keepNext/>
      <w:keepLines/>
      <w:spacing w:after="0"/>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line="240" w:lineRule="auto"/>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numbering" Target="numbering.xml"/>
	<Relationship Id="rId00006" Type="http://schemas.openxmlformats.org/officeDocument/2006/relationships/fontTable" Target="fontTable.xml"/>
	<Relationship Id="rId000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Marsden</dc:creator>
  <dcterms:created xsi:type="dcterms:W3CDTF">2026-07-03T14:40:00Z</dcterms:created>
</cp:coreProperties>
</file>