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wdp" ContentType="image/vnd.ms-photo"/>
  <Default Extension="jxr" ContentType="image/vnd.ms-photo"/>
  <Default Extension="dds" ContentType="image/vnd.ms-dds"/>
  <Default Extension="heic" ContentType="image/heic"/>
  <Default Extension="svg" ContentType="image/svg+xml"/>
  <Default Extension="bin" ContentType="application/vnd.openxmlformats-officedocument.oleObject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
	<Relationship Id="rId00001" Type="http://schemas.openxmlformats.org/officeDocument/2006/relationships/officeDocument" Target="word/document.xml"/>
	<Relationship Id="rId00002" Type="http://schemas.openxmlformats.org/package/2006/relationships/metadata/core-properties" Target="docProps/core.xml"/>
	<Relationship Id="rId00003" Type="http://schemas.openxmlformats.org/officeDocument/2006/relationships/extended-properties" Target="docProps/app.xml"/>
	<Relationship Id="rId00004" Type="http://schemas.openxmlformats.org/officeDocument/2006/relationships/custom-properties" Target="docProps/custom.xml"/>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mc="http://schemas.openxmlformats.org/markup-compatibility/2006" xmlns:w14="http://schemas.microsoft.com/office/word/2010/wordml" xmlns:wpc="http://schemas.microsoft.com/office/word/2010/wordprocessingCanvas" xmlns:wpg="http://schemas.microsoft.com/office/word/2010/wordprocessingGroup" xmlns:wps="http://schemas.microsoft.com/office/word/2010/wordprocessingShape" xmlns:w15="http://schemas.microsoft.com/office/word/2012/wordml" xmlns:w16du="http://schemas.microsoft.com/office/word/2023/wordml/word16du" xmlns:tx19="http://schemas.textcontrol.com/tx/1900" xmlns:tx23="http://schemas.textcontrol.com/tx/2300" xmlns:tx26="http://schemas.textcontrol.com/tx/2600" mc:Ignorable="w14 wpc wpg wps w15 w16du tx19 tx23 tx26">
  <w:body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 New Roman" w:hAnsi="Times New Roman" w:eastAsia="Times New Roman" w:cs="Times New Roman"/>
          <w:color w:val="121212"/>
          <w:sz w:val="24"/>
          <w:szCs w:val="24"/>
          <w:shd w:val="clear" w:color="auto" w:fill="FFFFFF"/>
          <w:lang w:val="cy-GB" w:eastAsia="cy-GB" w:bidi="cy-GB"/>
        </w:rPr>
      </w:pPr>
      <w:r>
        <w:rPr>
          <w:rStyle w:val="Strong"/>
          <w:rFonts w:ascii="Times New Roman" w:hAnsi="Times New Roman" w:eastAsia="Times New Roman" w:cs="Times New Roman"/>
          <w:color w:val="121212"/>
          <w:sz w:val="24"/>
          <w:szCs w:val="24"/>
          <w:shd w:val="clear" w:color="auto" w:fill="FFFFFF"/>
          <w:lang w:val="cy-GB" w:eastAsia="cy-GB" w:bidi="cy-GB"/>
        </w:rPr>
        <w:t xml:space="preserve">PRIF SWYDDOGAETH</w:t>
      </w:r>
      <w:r>
        <w:rPr>
          <w:rFonts w:ascii="Times New Roman" w:hAnsi="Times New Roman" w:eastAsia="Times New Roman" w:cs="Times New Roman"/>
          <w:color w:val="121212"/>
          <w:sz w:val="24"/>
          <w:szCs w:val="24"/>
          <w:lang w:val="cy-GB" w:eastAsia="cy-GB" w:bidi="cy-GB"/>
        </w:rPr>
        <w:br w:type="textWrapping"/>
      </w:r>
      <w:r>
        <w:rPr>
          <w:rFonts w:ascii="Times New Roman" w:hAnsi="Times New Roman" w:eastAsia="Times New Roman" w:cs="Times New Roman"/>
          <w:color w:val="121212"/>
          <w:sz w:val="24"/>
          <w:szCs w:val="24"/>
          <w:shd w:val="clear" w:color="auto" w:fill="FFFFFF"/>
          <w:lang w:val="cy-GB" w:eastAsia="cy-GB" w:bidi="cy-GB"/>
        </w:rPr>
        <w:t xml:space="preserve">Bydd deiliad y swydd yn ymgymryd â llwyth addysgu llawn, gan gynnwys datblygu, cyflwyno, asesu a gwerthuso modiwlau ar y Cwrs Ymarferwyr Cyfreithwyr (SPC), Cwrs Hyfforddiant y Bar (BTC) a’r Diploma Cyffredinol yn y Gyfraith (GDL), ac unrhyw gyrsiau olynol.  Ar ben hynny, gall fod angen i ddeiliad y swydd gefnogi rhaglenni datblygu proffesiynol eraill y mae’r adran yn eu cyflwyno ar gyfer y proffesiwn yn ogystal â chyfrannu at weithgareddau yn Ysgol y Gyfraith a Gwleidyddiaeth, megis addysgu modiwlau addysg gyfreithiol glinigol a modiwlau sy’n rhan o raglenni eraill yr Ysgol.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 New Roman" w:hAnsi="Times New Roman" w:eastAsia="Times New Roman" w:cs="Times New Roman"/>
          <w:color w:val="121212"/>
          <w:sz w:val="24"/>
          <w:szCs w:val="24"/>
          <w:shd w:val="clear" w:color="auto" w:fill="FFFFFF"/>
          <w:lang w:val="cy-GB" w:eastAsia="cy-GB" w:bidi="cy-GB"/>
        </w:rPr>
      </w:pP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240" w:after="120" w:line="240" w:lineRule="auto"/>
        <w:rPr>
          <w:rFonts w:ascii="Times New Roman" w:hAnsi="Times New Roman" w:eastAsia="Times New Roman" w:cs="Times New Roman"/>
          <w:sz w:val="24"/>
          <w:szCs w:val="24"/>
          <w:lang w:val="cy-GB" w:eastAsia="cy-GB" w:bidi="cy-GB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cy-GB" w:eastAsia="cy-GB" w:bidi="cy-GB"/>
        </w:rPr>
        <w:t xml:space="preserve">Addysgu </w:t>
      </w:r>
    </w:p>
    <w:p>
      <w:pPr>
        <w:pStyle w:val="Normal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 w:line="240" w:lineRule="auto"/>
        <w:ind w:left="567" w:hanging="567"/>
        <w:rPr>
          <w:rFonts w:ascii="Times New Roman" w:hAnsi="Times New Roman" w:eastAsia="Times New Roman" w:cs="Times New Roman"/>
          <w:sz w:val="24"/>
          <w:szCs w:val="24"/>
          <w:lang w:val="cy-GB" w:eastAsia="cy-GB" w:bidi="cy-GB"/>
        </w:rPr>
      </w:pPr>
      <w:r>
        <w:rPr>
          <w:rFonts w:ascii="Times New Roman" w:hAnsi="Times New Roman" w:eastAsia="Times New Roman" w:cs="Times New Roman"/>
          <w:sz w:val="24"/>
          <w:szCs w:val="24"/>
          <w:lang w:val="cy-GB" w:eastAsia="cy-GB" w:bidi="cy-GB"/>
        </w:rPr>
        <w:t xml:space="preserve">•        Cynllunio a chyflwyno rhaglenni addysgu a chyfrannu at y gwaith o ddatblygu modiwlau, a hynny’n rhan o dîm y modiwl neu’n arweinydd ar gyfer y modiwl. </w:t>
      </w:r>
    </w:p>
    <w:p>
      <w:pPr>
        <w:pStyle w:val="Normal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 w:line="240" w:lineRule="auto"/>
        <w:ind w:left="567" w:hanging="567"/>
        <w:rPr>
          <w:rFonts w:ascii="Times New Roman" w:hAnsi="Times New Roman" w:eastAsia="Times New Roman" w:cs="Times New Roman"/>
          <w:sz w:val="24"/>
          <w:szCs w:val="24"/>
          <w:lang w:val="cy-GB" w:eastAsia="cy-GB" w:bidi="cy-GB"/>
        </w:rPr>
      </w:pPr>
      <w:r>
        <w:rPr>
          <w:rFonts w:ascii="Times New Roman" w:hAnsi="Times New Roman" w:eastAsia="Times New Roman" w:cs="Times New Roman"/>
          <w:sz w:val="24"/>
          <w:szCs w:val="24"/>
          <w:lang w:val="cy-GB" w:eastAsia="cy-GB" w:bidi="cy-GB"/>
        </w:rPr>
        <w:t xml:space="preserve">•         Cyfrannu’n annibynnol at y gwaith o ddatblygu modiwlau a’r cwricwlwm, gan gynnwys arwain modiwlau. </w:t>
      </w:r>
    </w:p>
    <w:p>
      <w:pPr>
        <w:pStyle w:val="Normal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 w:line="240" w:lineRule="auto"/>
        <w:ind w:left="567" w:hanging="567"/>
        <w:rPr>
          <w:rFonts w:ascii="Times New Roman" w:hAnsi="Times New Roman" w:eastAsia="Times New Roman" w:cs="Times New Roman"/>
          <w:sz w:val="24"/>
          <w:szCs w:val="24"/>
          <w:lang w:val="cy-GB" w:eastAsia="cy-GB" w:bidi="cy-GB"/>
        </w:rPr>
      </w:pPr>
      <w:r>
        <w:rPr>
          <w:rFonts w:ascii="Times New Roman" w:hAnsi="Times New Roman" w:eastAsia="Times New Roman" w:cs="Times New Roman"/>
          <w:sz w:val="24"/>
          <w:szCs w:val="24"/>
          <w:lang w:val="cy-GB" w:eastAsia="cy-GB" w:bidi="cy-GB"/>
        </w:rPr>
        <w:t xml:space="preserve">•        Ysbrydoli myfyrwyr o dan arweiniad mentor, yn ogystal â datblygu sgiliau asesu a rhoi adborth adeiladol i fyfyrwyr. </w:t>
      </w:r>
    </w:p>
    <w:p>
      <w:pPr>
        <w:pStyle w:val="Normal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 w:line="240" w:lineRule="auto"/>
        <w:ind w:left="567" w:hanging="567"/>
        <w:rPr>
          <w:rFonts w:ascii="Times New Roman" w:hAnsi="Times New Roman" w:eastAsia="Times New Roman" w:cs="Times New Roman"/>
          <w:sz w:val="24"/>
          <w:szCs w:val="24"/>
          <w:lang w:val="cy-GB" w:eastAsia="cy-GB" w:bidi="cy-GB"/>
        </w:rPr>
      </w:pPr>
      <w:r>
        <w:rPr>
          <w:rFonts w:ascii="Times New Roman" w:hAnsi="Times New Roman" w:eastAsia="Times New Roman" w:cs="Times New Roman"/>
          <w:sz w:val="24"/>
          <w:szCs w:val="24"/>
          <w:lang w:val="cy-GB" w:eastAsia="cy-GB" w:bidi="cy-GB"/>
        </w:rPr>
        <w:t xml:space="preserve">•        Goruchwylio gwaith myfyrwyr, gan gynnwys traethodau hir ôl-raddedig. </w:t>
      </w:r>
    </w:p>
    <w:p>
      <w:pPr>
        <w:pStyle w:val="Normal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 w:line="240" w:lineRule="auto"/>
        <w:ind w:left="567" w:hanging="567"/>
        <w:rPr>
          <w:rFonts w:ascii="Times New Roman" w:hAnsi="Times New Roman" w:eastAsia="Times New Roman" w:cs="Times New Roman"/>
          <w:sz w:val="24"/>
          <w:szCs w:val="24"/>
          <w:lang w:val="cy-GB" w:eastAsia="cy-GB" w:bidi="cy-GB"/>
        </w:rPr>
      </w:pPr>
      <w:r>
        <w:rPr>
          <w:rFonts w:ascii="Times New Roman" w:hAnsi="Times New Roman" w:eastAsia="Times New Roman" w:cs="Times New Roman"/>
          <w:sz w:val="24"/>
          <w:szCs w:val="24"/>
          <w:lang w:val="cy-GB" w:eastAsia="cy-GB" w:bidi="cy-GB"/>
        </w:rPr>
        <w:t xml:space="preserve">•        Rheoli prosiectau yn eich maes gwaith eich hun a chymryd rhan yn y gwaith o drefnu gweithgareddau allanol megis lleoliadau gwaith i fyfyrwyr, cystadlaethau a gweithgareddau allgyrsiol, gan gynnwys digwyddiadau marchnata. </w:t>
      </w:r>
    </w:p>
    <w:p>
      <w:pPr>
        <w:pStyle w:val="Normal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 w:line="240" w:lineRule="auto"/>
        <w:ind w:left="567" w:hanging="567"/>
        <w:rPr>
          <w:rFonts w:ascii="Times New Roman" w:hAnsi="Times New Roman" w:eastAsia="Times New Roman" w:cs="Times New Roman"/>
          <w:sz w:val="24"/>
          <w:szCs w:val="24"/>
          <w:lang w:val="cy-GB" w:eastAsia="cy-GB" w:bidi="cy-GB"/>
        </w:rPr>
      </w:pPr>
      <w:r>
        <w:rPr>
          <w:rFonts w:ascii="Times New Roman" w:hAnsi="Times New Roman" w:eastAsia="Times New Roman" w:cs="Times New Roman"/>
          <w:sz w:val="24"/>
          <w:szCs w:val="24"/>
          <w:lang w:val="cy-GB" w:eastAsia="cy-GB" w:bidi="cy-GB"/>
        </w:rPr>
        <w:t xml:space="preserve">•        Rhoi gofal bugeiliol drwy fod yn Diwtor Personol a rhoi cymorth ac arweiniad i fyfyrwyr, gan feithrin ymddiriedaeth a’i sefydlu. </w:t>
      </w:r>
    </w:p>
    <w:p>
      <w:pPr>
        <w:pStyle w:val="ListParagraph"/>
        <w:numPr>
          <w:ilvl w:val="0"/>
          <w:numId w:val="1"/>
        </w:numPr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 w:line="240" w:lineRule="auto"/>
        <w:ind w:left="567" w:hanging="567"/>
        <w:rPr>
          <w:rFonts w:ascii="Times New Roman" w:hAnsi="Times New Roman" w:eastAsia="Times New Roman" w:cs="Times New Roman"/>
          <w:lang w:val="cy-GB" w:eastAsia="cy-GB" w:bidi="cy-GB"/>
        </w:rPr>
      </w:pPr>
      <w:r>
        <w:rPr>
          <w:rFonts w:ascii="Times New Roman" w:hAnsi="Times New Roman" w:eastAsia="Times New Roman" w:cs="Times New Roman"/>
          <w:lang w:val="cy-GB" w:eastAsia="cy-GB" w:bidi="cy-GB"/>
        </w:rPr>
        <w:t xml:space="preserve">Gwneud gwaith sy’n gysylltiedig ag arholiadau (gosod a marcio papurau a rhoi adborth adeiladol i fyfyrwyr), gweinyddiaeth a gwaith pwyllgor. 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240" w:after="120" w:line="240" w:lineRule="auto"/>
        <w:rPr>
          <w:rFonts w:ascii="Times New Roman" w:hAnsi="Times New Roman" w:eastAsia="Times New Roman" w:cs="Times New Roman"/>
          <w:sz w:val="24"/>
          <w:szCs w:val="24"/>
          <w:lang w:val="cy-GB" w:eastAsia="cy-GB" w:bidi="cy-GB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cy-GB" w:eastAsia="cy-GB" w:bidi="cy-GB"/>
        </w:rPr>
        <w:t xml:space="preserve">Ysgolheictod </w:t>
      </w:r>
    </w:p>
    <w:p>
      <w:pPr>
        <w:pStyle w:val="Normal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 w:line="240" w:lineRule="auto"/>
        <w:ind w:left="567" w:hanging="567"/>
        <w:rPr>
          <w:rFonts w:ascii="Times New Roman" w:hAnsi="Times New Roman" w:eastAsia="Times New Roman" w:cs="Times New Roman"/>
          <w:sz w:val="24"/>
          <w:szCs w:val="24"/>
          <w:lang w:val="cy-GB" w:eastAsia="cy-GB" w:bidi="cy-GB"/>
        </w:rPr>
      </w:pPr>
      <w:r>
        <w:rPr>
          <w:rFonts w:ascii="Times New Roman" w:hAnsi="Times New Roman" w:eastAsia="Times New Roman" w:cs="Times New Roman"/>
          <w:sz w:val="24"/>
          <w:szCs w:val="24"/>
          <w:lang w:val="cy-GB" w:eastAsia="cy-GB" w:bidi="cy-GB"/>
        </w:rPr>
        <w:t xml:space="preserve">•        Cyfrannu at ysgolheictod yn y maes gwaith a/neu ysgolheictod dysgu ac addysgu drwy gymryd rhan mewn cynadleddau, seminarau a fforymau academaidd a phroffesiynol eraill i rannu canlyniadau ysgolheictod unigol. </w:t>
      </w:r>
    </w:p>
    <w:p>
      <w:pPr>
        <w:pStyle w:val="Normal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 w:line="240" w:lineRule="auto"/>
        <w:ind w:left="567" w:hanging="567"/>
        <w:rPr>
          <w:rFonts w:ascii="Times New Roman" w:hAnsi="Times New Roman" w:eastAsia="Times New Roman" w:cs="Times New Roman"/>
          <w:sz w:val="24"/>
          <w:szCs w:val="24"/>
          <w:lang w:val="cy-GB" w:eastAsia="cy-GB" w:bidi="cy-GB"/>
        </w:rPr>
      </w:pPr>
      <w:r>
        <w:rPr>
          <w:rFonts w:ascii="Times New Roman" w:hAnsi="Times New Roman" w:eastAsia="Times New Roman" w:cs="Times New Roman"/>
          <w:sz w:val="24"/>
          <w:szCs w:val="24"/>
          <w:lang w:val="cy-GB" w:eastAsia="cy-GB" w:bidi="cy-GB"/>
        </w:rPr>
        <w:t xml:space="preserve">•        Ymgysylltu â gweithgarwch ysgolheigaidd drwy ysgrifennu erthyglau mewn cyfnodolion a/neu greu allbwn sy’n ehangu gwybodaeth yn y maes gwaith hwn. </w:t>
      </w:r>
    </w:p>
    <w:p>
      <w:pPr>
        <w:pStyle w:val="Normal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 w:line="240" w:lineRule="auto"/>
        <w:ind w:left="567" w:hanging="567"/>
        <w:rPr>
          <w:rFonts w:ascii="Times New Roman" w:hAnsi="Times New Roman" w:eastAsia="Times New Roman" w:cs="Times New Roman"/>
          <w:sz w:val="24"/>
          <w:szCs w:val="24"/>
          <w:lang w:val="cy-GB" w:eastAsia="cy-GB" w:bidi="cy-GB"/>
        </w:rPr>
      </w:pPr>
      <w:r>
        <w:rPr>
          <w:rFonts w:ascii="Times New Roman" w:hAnsi="Times New Roman" w:eastAsia="Times New Roman" w:cs="Times New Roman"/>
          <w:sz w:val="24"/>
          <w:szCs w:val="24"/>
          <w:lang w:val="cy-GB" w:eastAsia="cy-GB" w:bidi="cy-GB"/>
        </w:rPr>
        <w:t xml:space="preserve">•        Cyfrannu at ysgolheictod drwy waith rhyngddisgyblaethol gydag unigolion a thimau yng nghymuned ehangach y Brifysgol yn ogystal â thu hwnt. 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240" w:after="120" w:line="240" w:lineRule="auto"/>
        <w:rPr>
          <w:rFonts w:ascii="Times New Roman" w:hAnsi="Times New Roman" w:eastAsia="Times New Roman" w:cs="Times New Roman"/>
          <w:sz w:val="24"/>
          <w:szCs w:val="24"/>
          <w:lang w:val="cy-GB" w:eastAsia="cy-GB" w:bidi="cy-GB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cy-GB" w:eastAsia="cy-GB" w:bidi="cy-GB"/>
        </w:rPr>
        <w:t xml:space="preserve">Arall </w:t>
      </w:r>
    </w:p>
    <w:p>
      <w:pPr>
        <w:pStyle w:val="Normal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 w:line="240" w:lineRule="auto"/>
        <w:ind w:left="567" w:hanging="567"/>
        <w:rPr>
          <w:rFonts w:ascii="Times New Roman" w:hAnsi="Times New Roman" w:eastAsia="Times New Roman" w:cs="Times New Roman"/>
          <w:sz w:val="24"/>
          <w:szCs w:val="24"/>
          <w:lang w:val="cy-GB" w:eastAsia="cy-GB" w:bidi="cy-GB"/>
        </w:rPr>
      </w:pPr>
      <w:r>
        <w:rPr>
          <w:rFonts w:ascii="Times New Roman" w:hAnsi="Times New Roman" w:eastAsia="Times New Roman" w:cs="Times New Roman"/>
          <w:sz w:val="24"/>
          <w:szCs w:val="24"/>
          <w:lang w:val="cy-GB" w:eastAsia="cy-GB" w:bidi="cy-GB"/>
        </w:rPr>
        <w:t xml:space="preserve">•        Cydweithio’n effeithiol â chyrff yn y diwydiant, cyrff masnachol ac yn y sector cyhoeddus, sefydliadau proffesiynol a sefydliadau academaidd eraill, yn rhanbarthol ac yn genedlaethol i godi proffil yr Ysgol i feithrin partneriaethau strategol gwerthfawr, a chwilio am gyfleoedd i gydweithio ar amrywiaeth o weithgareddau. Bydd disgwyl i’r gweithgareddau hyn gyfrannu at yr Ysgol a gwella ei phroffil rhanbarthol a chenedlaethol. </w:t>
      </w:r>
    </w:p>
    <w:p>
      <w:pPr>
        <w:pStyle w:val="Normal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240" w:after="120" w:line="240" w:lineRule="auto"/>
        <w:ind w:left="567" w:hanging="567"/>
        <w:rPr>
          <w:rFonts w:ascii="Times New Roman" w:hAnsi="Times New Roman" w:eastAsia="Times New Roman" w:cs="Times New Roman"/>
          <w:sz w:val="24"/>
          <w:szCs w:val="24"/>
          <w:lang w:val="cy-GB" w:eastAsia="cy-GB" w:bidi="cy-GB"/>
        </w:rPr>
      </w:pPr>
      <w:r>
        <w:rPr>
          <w:rFonts w:ascii="Times New Roman" w:hAnsi="Times New Roman" w:eastAsia="Times New Roman" w:cs="Times New Roman"/>
          <w:sz w:val="24"/>
          <w:szCs w:val="24"/>
          <w:lang w:val="cy-GB" w:eastAsia="cy-GB" w:bidi="cy-GB"/>
        </w:rPr>
        <w:t xml:space="preserve">•        Cymryd rhan yng ngweinyddiaeth a gweithgareddau’r Ysgol er mwyn hyrwyddo’r Ysgol a’i gwaith ar draws y Brifysgol a thu hwnt (e.e. diwrnodau agored, darlithoedd cyhoeddus a digwyddiadau eraill), cyfrannu at ymgyngoriadau cyhoeddus, rhoi cyngor ar bolisïau ac ati. </w:t>
      </w:r>
    </w:p>
    <w:p>
      <w:pPr>
        <w:pStyle w:val="Normal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240" w:after="120" w:line="240" w:lineRule="auto"/>
        <w:ind w:left="567" w:hanging="567"/>
        <w:rPr>
          <w:rFonts w:ascii="Times New Roman" w:hAnsi="Times New Roman" w:eastAsia="Times New Roman" w:cs="Times New Roman"/>
          <w:sz w:val="24"/>
          <w:szCs w:val="24"/>
          <w:lang w:val="cy-GB" w:eastAsia="cy-GB" w:bidi="cy-GB"/>
        </w:rPr>
      </w:pPr>
      <w:r>
        <w:rPr>
          <w:rFonts w:ascii="Times New Roman" w:hAnsi="Times New Roman" w:eastAsia="Times New Roman" w:cs="Times New Roman"/>
          <w:sz w:val="24"/>
          <w:szCs w:val="24"/>
          <w:lang w:val="cy-GB" w:eastAsia="cy-GB" w:bidi="cy-GB"/>
        </w:rPr>
        <w:t xml:space="preserve">•        Datblygu’n bersonol ac yn broffesiynol mewn modd sy’n addas i rôl Darlithydd ac sy’n mynd i wella eich perfformiad yn y rôl honno.  </w:t>
      </w:r>
    </w:p>
    <w:p>
      <w:pPr>
        <w:pStyle w:val="Normal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240" w:after="120" w:line="240" w:lineRule="auto"/>
        <w:ind w:left="567" w:hanging="567"/>
        <w:rPr>
          <w:rFonts w:ascii="Times New Roman" w:hAnsi="Times New Roman" w:eastAsia="Times New Roman" w:cs="Times New Roman"/>
          <w:sz w:val="24"/>
          <w:szCs w:val="24"/>
          <w:lang w:val="cy-GB" w:eastAsia="cy-GB" w:bidi="cy-GB"/>
        </w:rPr>
      </w:pPr>
      <w:r>
        <w:rPr>
          <w:rFonts w:ascii="Times New Roman" w:hAnsi="Times New Roman" w:eastAsia="Times New Roman" w:cs="Times New Roman"/>
          <w:sz w:val="24"/>
          <w:szCs w:val="24"/>
          <w:lang w:val="cy-GB" w:eastAsia="cy-GB" w:bidi="cy-GB"/>
        </w:rPr>
        <w:t xml:space="preserve">•       Cydymffurfio a sicrhau cydymffurfiaeth â gofynion cyfreithiol a rheoliadol o ran cydraddoldeb ac amrywiaeth, diogelu data, hawlfraint a thrwyddedu, diogelwch a materion ariannol, gan gynnwys polisïau, gweithdrefnau a chodau eraill y Brifysgol fel y bo’n briodol. </w:t>
      </w:r>
    </w:p>
    <w:p>
      <w:pPr>
        <w:pStyle w:val="Normal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240" w:after="120" w:line="240" w:lineRule="auto"/>
        <w:ind w:left="567" w:hanging="567"/>
        <w:rPr>
          <w:rFonts w:ascii="Times New Roman" w:hAnsi="Times New Roman" w:eastAsia="Times New Roman" w:cs="Times New Roman"/>
          <w:sz w:val="24"/>
          <w:szCs w:val="24"/>
          <w:lang w:val="cy-GB" w:eastAsia="cy-GB" w:bidi="cy-GB"/>
        </w:rPr>
      </w:pPr>
      <w:r>
        <w:rPr>
          <w:rFonts w:ascii="Times New Roman" w:hAnsi="Times New Roman" w:eastAsia="Times New Roman" w:cs="Times New Roman"/>
          <w:sz w:val="24"/>
          <w:szCs w:val="24"/>
          <w:lang w:val="cy-GB" w:eastAsia="cy-GB" w:bidi="cy-GB"/>
        </w:rPr>
        <w:t xml:space="preserve">•       Cymryd gofal rhesymol am eich iechyd a’ch diogelwch eich hun ac am bobl eraill y mae’n bosibl y bydd eich gweithredoedd neu’ch hepgoriadau yn y gwaith yn unol â Deddf Iechyd a Diogelwch yn y Gwaith 1974, cyfarwyddebau’r UE, a pholisïau a gweithdrefnau iechyd ac amgylcheddol y brifysgol yn effeithio arnynt, a chydweithredu gyda’r brifysgol mewn perthynas ag unrhyw ddyletswyddau cyfreithiol a osodir arni fel y cyflogwr. </w:t>
      </w:r>
    </w:p>
    <w:p>
      <w:pPr>
        <w:pStyle w:val="ListParagraph"/>
        <w:numPr>
          <w:ilvl w:val="0"/>
          <w:numId w:val="2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 w:line="240" w:lineRule="auto"/>
        <w:ind w:left="360" w:hanging="360"/>
        <w:rPr>
          <w:rFonts w:ascii="Times New Roman" w:hAnsi="Times New Roman" w:eastAsia="Times New Roman" w:cs="Times New Roman"/>
          <w:lang w:val="cy-GB" w:eastAsia="cy-GB" w:bidi="cy-GB"/>
        </w:rPr>
      </w:pPr>
      <w:r>
        <w:rPr>
          <w:rFonts w:ascii="Times New Roman" w:hAnsi="Times New Roman" w:eastAsia="Times New Roman" w:cs="Times New Roman"/>
          <w:lang w:val="cy-GB" w:eastAsia="cy-GB" w:bidi="cy-GB"/>
        </w:rPr>
        <w:t xml:space="preserve">  Cyflawni unrhyw ddyletswyddau eraill nad ydynt wedi’u nodi uchod ond sy’n cyd-fynd â gofynion y swydd. </w:t>
      </w:r>
    </w:p>
    <w:p>
      <w:pPr>
        <w:pStyle w:val="ListParagraph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 w:line="240" w:lineRule="auto"/>
        <w:ind w:left="360"/>
        <w:rPr>
          <w:rFonts w:ascii="Times New Roman" w:hAnsi="Times New Roman" w:eastAsia="Times New Roman" w:cs="Times New Roman"/>
          <w:lang w:val="cy-GB" w:eastAsia="cy-GB" w:bidi="cy-GB"/>
        </w:rPr>
      </w:pPr>
    </w:p>
    <w:p>
      <w:pPr>
        <w:pStyle w:val="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cy-GB" w:eastAsia="cy-GB" w:bidi="cy-GB"/>
        </w:rPr>
      </w:pPr>
      <w:r>
        <w:rPr>
          <w:rStyle w:val="normaltextrun"/>
          <w:b/>
          <w:bCs/>
          <w:color w:val="333333"/>
          <w:shd w:val="clear" w:color="auto" w:fill="FFFFFF"/>
          <w:lang w:val="cy-GB" w:eastAsia="cy-GB" w:bidi="cy-GB"/>
        </w:rPr>
        <w:t xml:space="preserve">NODYN PWYSIG I YMGEISWYR:</w:t>
      </w:r>
      <w:r>
        <w:rPr>
          <w:rStyle w:val="eop"/>
          <w:color w:val="333333"/>
          <w:lang w:val="cy-GB" w:eastAsia="cy-GB" w:bidi="cy-GB"/>
        </w:rPr>
        <w:t xml:space="preserve"> </w:t>
      </w:r>
    </w:p>
    <w:p>
      <w:pPr>
        <w:pStyle w:val="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Style w:val="eop"/>
          <w:color w:val="333333"/>
          <w:lang w:val="cy-GB" w:eastAsia="cy-GB" w:bidi="cy-GB"/>
        </w:rPr>
      </w:pPr>
      <w:r>
        <w:rPr>
          <w:rStyle w:val="normaltextrun"/>
          <w:color w:val="333333"/>
          <w:shd w:val="clear" w:color="auto" w:fill="FFFFFF"/>
          <w:lang w:val="cy-GB" w:eastAsia="cy-GB" w:bidi="cy-GB"/>
        </w:rPr>
        <w:t xml:space="preserve">Polisi'r Brifysgol yw defnyddio manyleb yr unigolyn yn adnodd allweddol i lunio’r rhestr fer, a dim ond yr ymgeiswyr hynny sy'n dangos yn glir eu bod yn bodloni (neu'n rhannol fodloni) pob un o'r meini prawf hanfodol a gaiff eu gwahodd i gyfweliad. Rhaid ichi gyflwyno datganiad ategol sy'n amlinellu sut rydych chi'n bodloni'r meini prawf isod. Rydym yn argymell eich bod yn defnyddio pob maen prawf fel is-bennawd yn eich datganiad a’ch bod yn nodi eich profiad/tystiolaeth berthnasol o dan bob un. Mae'n hollbwysig eich bod yn nodi rhif y swydd wag (e.e. 1234BR) yn rhan o enw’r ffeil wrth gadw eich datganiad ategol gan ei bod yn bosibl bod methu â gwneud hynny yn arwain at ei hepgor o'ch cais.</w:t>
      </w:r>
      <w:r>
        <w:rPr>
          <w:rStyle w:val="eop"/>
          <w:color w:val="333333"/>
          <w:lang w:val="cy-GB" w:eastAsia="cy-GB" w:bidi="cy-GB"/>
        </w:rPr>
        <w:t xml:space="preserve"> </w:t>
      </w:r>
    </w:p>
    <w:p>
      <w:pPr>
        <w:pStyle w:val="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Style w:val="eop"/>
          <w:color w:val="333333"/>
          <w:lang w:val="cy-GB" w:eastAsia="cy-GB" w:bidi="cy-GB"/>
        </w:rPr>
      </w:pPr>
    </w:p>
    <w:p>
      <w:pPr>
        <w:pStyle w:val="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cy-GB" w:eastAsia="cy-GB" w:bidi="cy-GB"/>
        </w:rPr>
      </w:pPr>
      <w:r>
        <w:rPr>
          <w:b/>
          <w:bCs/>
          <w:u w:val="single"/>
          <w:lang w:val="cy-GB" w:eastAsia="cy-GB" w:bidi="cy-GB"/>
        </w:rPr>
        <w:t xml:space="preserve">Meini Prawf Hanfodol</w:t>
      </w:r>
      <w:r>
        <w:rPr>
          <w:b/>
          <w:bCs/>
          <w:lang w:val="cy-GB" w:eastAsia="cy-GB" w:bidi="cy-GB"/>
        </w:rPr>
        <w:t xml:space="preserve"> </w:t>
      </w:r>
    </w:p>
    <w:p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20" w:after="12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val="cy-GB" w:eastAsia="cy-GB" w:bidi="cy-GB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cy-GB" w:eastAsia="cy-GB" w:bidi="cy-GB"/>
        </w:rPr>
        <w:t xml:space="preserve">Cymwysterau ac Addysg</w:t>
      </w:r>
    </w:p>
    <w:p>
      <w:pPr>
        <w:pStyle w:val="ListParagraph"/>
        <w:numPr>
          <w:ilvl w:val="0"/>
          <w:numId w:val="3"/>
        </w:numPr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240" w:line="240" w:lineRule="auto"/>
        <w:ind w:left="567" w:hanging="567"/>
        <w:rPr>
          <w:rFonts w:ascii="Times New Roman" w:hAnsi="Times New Roman" w:eastAsia="Times New Roman" w:cs="Times New Roman"/>
          <w:lang w:val="cy-GB" w:eastAsia="cy-GB" w:bidi="cy-GB"/>
        </w:rPr>
      </w:pPr>
      <w:r>
        <w:rPr>
          <w:rFonts w:ascii="Times New Roman" w:hAnsi="Times New Roman" w:eastAsia="Times New Roman" w:cs="Times New Roman"/>
          <w:lang w:val="cy-GB" w:eastAsia="cy-GB" w:bidi="cy-GB"/>
        </w:rPr>
        <w:t xml:space="preserve">Cymwysterau bargyfreithiwr, cyfreithiwr neu swyddog gweithredol cyfreithiol yng Nghymru a Lloegr. </w:t>
      </w:r>
    </w:p>
    <w:p>
      <w:pPr>
        <w:pStyle w:val="ListParagraph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240" w:after="120" w:line="240" w:lineRule="auto"/>
        <w:ind w:left="567" w:hanging="567"/>
        <w:rPr>
          <w:rFonts w:ascii="Times New Roman" w:hAnsi="Times New Roman" w:eastAsia="Times New Roman" w:cs="Times New Roman"/>
          <w:b/>
          <w:bCs/>
          <w:lang w:val="cy-GB" w:eastAsia="cy-GB" w:bidi="cy-GB"/>
        </w:rPr>
      </w:pPr>
      <w:r>
        <w:rPr>
          <w:rFonts w:ascii="Times New Roman" w:hAnsi="Times New Roman" w:eastAsia="Times New Roman" w:cs="Times New Roman"/>
          <w:b/>
          <w:bCs/>
          <w:lang w:val="cy-GB" w:eastAsia="cy-GB" w:bidi="cy-GB"/>
        </w:rPr>
        <w:t xml:space="preserve">Gwybodaeth, Sgiliau a Phrofiad </w:t>
      </w:r>
    </w:p>
    <w:p>
      <w:pPr>
        <w:pStyle w:val="ListParagraph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 w:line="240" w:lineRule="auto"/>
        <w:ind w:left="567" w:hanging="567"/>
        <w:rPr>
          <w:rFonts w:ascii="Times New Roman" w:hAnsi="Times New Roman" w:eastAsia="Times New Roman" w:cs="Times New Roman"/>
          <w:lang w:val="cy-GB" w:eastAsia="cy-GB" w:bidi="cy-GB"/>
        </w:rPr>
      </w:pPr>
      <w:r>
        <w:rPr>
          <w:rFonts w:ascii="Times New Roman" w:hAnsi="Times New Roman" w:eastAsia="Times New Roman" w:cs="Times New Roman"/>
          <w:lang w:val="cy-GB" w:eastAsia="cy-GB" w:bidi="cy-GB"/>
        </w:rPr>
        <w:t xml:space="preserve">2.       Y gallu i gynllunio, cyflwyno a datblygu’n barhaus y modiwlau sy’n rhan o raglenni addysgu'r Ysgol, gan gynnwys modiwlau sy’n berthnasol i gyrsiau galwedigaethol megis y Cwrs Ymarfer Cyfreithwyr, Cwrs Hyfforddiant y Bar, y cwrs Diploma Graddedig yn y Gyfraith neu unrhyw gyrsiau olynol.  </w:t>
      </w:r>
    </w:p>
    <w:p>
      <w:pPr>
        <w:pStyle w:val="ListParagraph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 w:line="240" w:lineRule="auto"/>
        <w:ind w:left="567" w:hanging="567"/>
        <w:rPr>
          <w:rFonts w:ascii="Times New Roman" w:hAnsi="Times New Roman" w:eastAsia="Times New Roman" w:cs="Times New Roman"/>
          <w:lang w:val="cy-GB" w:eastAsia="cy-GB" w:bidi="cy-GB"/>
        </w:rPr>
      </w:pPr>
      <w:r>
        <w:rPr>
          <w:rFonts w:ascii="Times New Roman" w:hAnsi="Times New Roman" w:eastAsia="Times New Roman" w:cs="Times New Roman"/>
          <w:lang w:val="cy-GB" w:eastAsia="cy-GB" w:bidi="cy-GB"/>
        </w:rPr>
        <w:t xml:space="preserve">3.       Y gallu i gynllunio, cyflwyno a datblygu modiwlau sgiliau cyfreithiol yn barhaus, gan gynnwys meini prawf asesu priodol ar draws rhaglen addysgu’r Ysgol, yn enwedig modiwlau cyrsiau galwedigaethol y gyfraith sy’n berthnasol i’r Cwrs Ymarfer Cyfreithwyr, Cwrs Hyfforddiant y Bar, y cwrs Diploma Graddedig yn y Gyfraith neu unrhyw gyrsiau dilynol.</w:t>
      </w:r>
    </w:p>
    <w:p>
      <w:pPr>
        <w:pStyle w:val="ListParagraph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 w:line="240" w:lineRule="auto"/>
        <w:ind w:left="567" w:hanging="567"/>
        <w:rPr>
          <w:rFonts w:ascii="Times New Roman" w:hAnsi="Times New Roman" w:eastAsia="Times New Roman" w:cs="Times New Roman"/>
          <w:lang w:val="cy-GB" w:eastAsia="cy-GB" w:bidi="cy-GB"/>
        </w:rPr>
      </w:pPr>
      <w:r>
        <w:rPr>
          <w:rFonts w:ascii="Times New Roman" w:hAnsi="Times New Roman" w:eastAsia="Times New Roman" w:cs="Times New Roman"/>
          <w:lang w:val="cy-GB" w:eastAsia="cy-GB" w:bidi="cy-GB"/>
        </w:rPr>
        <w:t xml:space="preserve">4.       Y gallu i ddangos profiad o ymarfer cyfreithiol a gwybodaeth arbenigol, gan gynnwys profiad a gwybodaeth gyfoes yn y maes pwnc. </w:t>
      </w:r>
    </w:p>
    <w:p>
      <w:pPr>
        <w:pStyle w:val="ListParagraph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240" w:after="120" w:line="240" w:lineRule="auto"/>
        <w:ind w:left="567" w:hanging="567"/>
        <w:rPr>
          <w:rFonts w:ascii="Times New Roman" w:hAnsi="Times New Roman" w:eastAsia="Times New Roman" w:cs="Times New Roman"/>
          <w:lang w:val="cy-GB" w:eastAsia="cy-GB" w:bidi="cy-GB"/>
        </w:rPr>
      </w:pPr>
      <w:r>
        <w:rPr>
          <w:rFonts w:ascii="Times New Roman" w:hAnsi="Times New Roman" w:eastAsia="Times New Roman" w:cs="Times New Roman"/>
          <w:b/>
          <w:bCs/>
          <w:lang w:val="cy-GB" w:eastAsia="cy-GB" w:bidi="cy-GB"/>
        </w:rPr>
        <w:t xml:space="preserve">Bugeiliol, Cyfathrebu a Gweithio Mewn Tîm </w:t>
      </w:r>
    </w:p>
    <w:p>
      <w:pPr>
        <w:pStyle w:val="ListParagraph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 w:line="240" w:lineRule="auto"/>
        <w:ind w:left="567" w:hanging="567"/>
        <w:rPr>
          <w:rFonts w:ascii="Times New Roman" w:hAnsi="Times New Roman" w:eastAsia="Times New Roman" w:cs="Times New Roman"/>
          <w:lang w:val="cy-GB" w:eastAsia="cy-GB" w:bidi="cy-GB"/>
        </w:rPr>
      </w:pPr>
      <w:r>
        <w:rPr>
          <w:rFonts w:ascii="Times New Roman" w:hAnsi="Times New Roman" w:eastAsia="Times New Roman" w:cs="Times New Roman"/>
          <w:lang w:val="cy-GB" w:eastAsia="cy-GB" w:bidi="cy-GB"/>
        </w:rPr>
        <w:t xml:space="preserve">5.       Sgiliau cyfathrebu rhagorol (yn ysgrifenedig ac ar lafar) a’r gallu i gyflwyno syniadau cymhleth i eraill yn eglur ac yn hyderus gan ddefnyddio amrywiaeth o gyfryngau. </w:t>
      </w:r>
    </w:p>
    <w:p>
      <w:pPr>
        <w:pStyle w:val="ListParagraph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 w:line="240" w:lineRule="auto"/>
        <w:ind w:left="567" w:hanging="567"/>
        <w:rPr>
          <w:rFonts w:ascii="Times New Roman" w:hAnsi="Times New Roman" w:eastAsia="Times New Roman" w:cs="Times New Roman"/>
          <w:lang w:val="cy-GB" w:eastAsia="cy-GB" w:bidi="cy-GB"/>
        </w:rPr>
      </w:pPr>
      <w:r>
        <w:rPr>
          <w:rFonts w:ascii="Times New Roman" w:hAnsi="Times New Roman" w:eastAsia="Times New Roman" w:cs="Times New Roman"/>
          <w:lang w:val="cy-GB" w:eastAsia="cy-GB" w:bidi="cy-GB"/>
        </w:rPr>
        <w:t xml:space="preserve">6.      Y gallu i roi cymorth bugeiliol priodol i fyfyrwyr, gwerthfawrogi anghenion ac amgylchiadau myfyrwyr unigol a bod yn diwtor personol iddynt. </w:t>
      </w:r>
    </w:p>
    <w:p>
      <w:pPr>
        <w:pStyle w:val="ListParagraph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 w:line="240" w:lineRule="auto"/>
        <w:ind w:left="567" w:hanging="567"/>
        <w:rPr>
          <w:rFonts w:ascii="Times New Roman" w:hAnsi="Times New Roman" w:eastAsia="Times New Roman" w:cs="Times New Roman"/>
          <w:lang w:val="cy-GB" w:eastAsia="cy-GB" w:bidi="cy-GB"/>
        </w:rPr>
      </w:pPr>
      <w:r>
        <w:rPr>
          <w:rFonts w:ascii="Times New Roman" w:hAnsi="Times New Roman" w:eastAsia="Times New Roman" w:cs="Times New Roman"/>
          <w:lang w:val="cy-GB" w:eastAsia="cy-GB" w:bidi="cy-GB"/>
        </w:rPr>
        <w:t xml:space="preserve">7.      Y gallu i fod yn arweinydd modiwl, cydlynu ag eraill a bod yn rhan o nifer o dimau er mwyn gwneud yn siŵr bod anghenion myfyrwyr yn cael eu diwallu a bod eu disgwyliadau’n cael eu bodloni. </w:t>
      </w:r>
    </w:p>
    <w:p>
      <w:pPr>
        <w:pStyle w:val="ListParagraph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240" w:after="120" w:line="240" w:lineRule="auto"/>
        <w:ind w:left="567" w:hanging="567"/>
        <w:rPr>
          <w:rFonts w:ascii="Times New Roman" w:hAnsi="Times New Roman" w:eastAsia="Times New Roman" w:cs="Times New Roman"/>
          <w:b/>
          <w:bCs/>
          <w:lang w:val="cy-GB" w:eastAsia="cy-GB" w:bidi="cy-GB"/>
        </w:rPr>
      </w:pPr>
      <w:r>
        <w:rPr>
          <w:rFonts w:ascii="Times New Roman" w:hAnsi="Times New Roman" w:eastAsia="Times New Roman" w:cs="Times New Roman"/>
          <w:b/>
          <w:bCs/>
          <w:lang w:val="cy-GB" w:eastAsia="cy-GB" w:bidi="cy-GB"/>
        </w:rPr>
        <w:t xml:space="preserve">Arall </w:t>
      </w:r>
    </w:p>
    <w:p>
      <w:pPr>
        <w:pStyle w:val="ListParagraph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 w:line="240" w:lineRule="auto"/>
        <w:ind w:left="567" w:hanging="567"/>
        <w:rPr>
          <w:rFonts w:ascii="Times New Roman" w:hAnsi="Times New Roman" w:eastAsia="Times New Roman" w:cs="Times New Roman"/>
          <w:lang w:val="cy-GB" w:eastAsia="cy-GB" w:bidi="cy-GB"/>
        </w:rPr>
      </w:pPr>
      <w:r>
        <w:rPr>
          <w:rFonts w:ascii="Times New Roman" w:hAnsi="Times New Roman" w:eastAsia="Times New Roman" w:cs="Times New Roman"/>
          <w:lang w:val="cy-GB" w:eastAsia="cy-GB" w:bidi="cy-GB"/>
        </w:rPr>
        <w:t xml:space="preserve">8.     Y gallu i ymgymryd â gwaith gweinyddol academaidd.    </w:t>
      </w:r>
    </w:p>
    <w:p>
      <w:pPr>
        <w:pStyle w:val="ListParagraph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 w:line="240" w:lineRule="auto"/>
        <w:ind w:left="567" w:hanging="567"/>
        <w:rPr>
          <w:rFonts w:ascii="Times New Roman" w:hAnsi="Times New Roman" w:eastAsia="Times New Roman" w:cs="Times New Roman"/>
          <w:b/>
          <w:bCs/>
          <w:lang w:val="cy-GB" w:eastAsia="cy-GB" w:bidi="cy-GB"/>
        </w:rPr>
      </w:pPr>
      <w:r>
        <w:rPr>
          <w:rFonts w:ascii="Times New Roman" w:hAnsi="Times New Roman" w:eastAsia="Times New Roman" w:cs="Times New Roman"/>
          <w:lang w:val="cy-GB" w:eastAsia="cy-GB" w:bidi="cy-GB"/>
        </w:rPr>
        <w:t xml:space="preserve">9.     Y gallu diamheuol i weithio heb oruchwyliaeth fanwl. </w:t>
      </w:r>
    </w:p>
    <w:p>
      <w:pPr>
        <w:pStyle w:val="ListParagraph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240" w:after="120" w:line="240" w:lineRule="auto"/>
        <w:ind w:left="567" w:hanging="567"/>
        <w:rPr>
          <w:rFonts w:ascii="Times New Roman" w:hAnsi="Times New Roman" w:eastAsia="Times New Roman" w:cs="Times New Roman"/>
          <w:b/>
          <w:bCs/>
          <w:lang w:val="cy-GB" w:eastAsia="cy-GB" w:bidi="cy-GB"/>
        </w:rPr>
      </w:pPr>
      <w:r>
        <w:rPr>
          <w:rFonts w:ascii="Times New Roman" w:hAnsi="Times New Roman" w:eastAsia="Times New Roman" w:cs="Times New Roman"/>
          <w:b/>
          <w:bCs/>
          <w:u w:val="single"/>
          <w:lang w:val="cy-GB" w:eastAsia="cy-GB" w:bidi="cy-GB"/>
        </w:rPr>
        <w:t xml:space="preserve">Meini Prawf Dymunol</w:t>
      </w:r>
      <w:r>
        <w:rPr>
          <w:rFonts w:ascii="Times New Roman" w:hAnsi="Times New Roman" w:eastAsia="Times New Roman" w:cs="Times New Roman"/>
          <w:b/>
          <w:bCs/>
          <w:lang w:val="cy-GB" w:eastAsia="cy-GB" w:bidi="cy-GB"/>
        </w:rPr>
        <w:t xml:space="preserve"> </w:t>
      </w:r>
    </w:p>
    <w:p>
      <w:pPr>
        <w:pStyle w:val="ListParagraph"/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 w:line="240" w:lineRule="auto"/>
        <w:ind w:left="567" w:hanging="567"/>
        <w:rPr>
          <w:rFonts w:ascii="Times New Roman" w:hAnsi="Times New Roman" w:eastAsia="Times New Roman" w:cs="Times New Roman"/>
          <w:lang w:val="cy-GB" w:eastAsia="cy-GB" w:bidi="cy-GB"/>
        </w:rPr>
      </w:pPr>
      <w:r>
        <w:rPr>
          <w:rFonts w:ascii="Times New Roman" w:hAnsi="Times New Roman" w:eastAsia="Times New Roman" w:cs="Times New Roman"/>
          <w:lang w:val="cy-GB" w:eastAsia="cy-GB" w:bidi="cy-GB"/>
        </w:rPr>
        <w:t xml:space="preserve">1.       Tystysgrif Ôl-raddedig mewn Addysgu a Dysgu yn y Brifysgol neu gymhwyster neu brofiad addysgu cyfatebol. </w:t>
      </w:r>
    </w:p>
    <w:p>
      <w:pPr>
        <w:pStyle w:val="ListParagraph"/>
        <w:numPr>
          <w:ilvl w:val="0"/>
          <w:numId w:val="3"/>
        </w:numPr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 w:line="240" w:lineRule="auto"/>
        <w:ind w:left="567" w:hanging="567"/>
        <w:rPr>
          <w:rFonts w:ascii="Times New Roman" w:hAnsi="Times New Roman" w:eastAsia="Times New Roman" w:cs="Times New Roman"/>
          <w:lang w:val="cy-GB" w:eastAsia="cy-GB" w:bidi="cy-GB"/>
        </w:rPr>
      </w:pPr>
      <w:r>
        <w:rPr>
          <w:rFonts w:ascii="Times New Roman" w:hAnsi="Times New Roman" w:eastAsia="Times New Roman" w:cs="Times New Roman"/>
          <w:lang w:val="cy-GB" w:eastAsia="cy-GB" w:bidi="cy-GB"/>
        </w:rPr>
        <w:t xml:space="preserve">Tystiolaeth o'r gallu i gymryd rhan mewn, a’r datblygiad o rwydweithiau mewnol ac allanol a'u defnyddio i wella gweithgareddau addysgu ac ymchwil yr Ysgol, gan gynnwys tystiolaeth o gydweithio â phractis/diwydiant. </w:t>
      </w:r>
    </w:p>
    <w:p>
      <w:pPr>
        <w:pStyle w:val="ListParagraph"/>
        <w:numPr>
          <w:ilvl w:val="0"/>
          <w:numId w:val="3"/>
        </w:numPr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 w:line="240" w:lineRule="auto"/>
        <w:ind w:left="567" w:hanging="567"/>
        <w:rPr>
          <w:rFonts w:ascii="Times New Roman" w:hAnsi="Times New Roman" w:eastAsia="Times New Roman" w:cs="Times New Roman"/>
          <w:lang w:val="cy-GB" w:eastAsia="cy-GB" w:bidi="cy-GB"/>
        </w:rPr>
      </w:pPr>
      <w:r>
        <w:rPr>
          <w:rFonts w:ascii="Times New Roman" w:hAnsi="Times New Roman" w:eastAsia="Times New Roman" w:cs="Times New Roman"/>
          <w:lang w:val="cy-GB" w:eastAsia="cy-GB" w:bidi="cy-GB"/>
        </w:rPr>
        <w:t xml:space="preserve">Y gallu i gyfathrebu ac addysgu drwy gyfrwng y Gymraeg.</w:t>
      </w:r>
    </w:p>
    <w:p>
      <w:pPr>
        <w:pStyle w:val="ListParagraph"/>
        <w:numPr>
          <w:ilvl w:val="0"/>
          <w:numId w:val="4"/>
        </w:numPr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 w:line="240" w:lineRule="auto"/>
        <w:ind w:left="567" w:hanging="567"/>
        <w:rPr>
          <w:rFonts w:ascii="Times New Roman" w:hAnsi="Times New Roman" w:eastAsia="Times New Roman" w:cs="Times New Roman"/>
          <w:color w:val="121212"/>
          <w:lang w:val="cy-GB" w:eastAsia="cy-GB" w:bidi="cy-GB"/>
        </w:rPr>
      </w:pPr>
      <w:r>
        <w:rPr>
          <w:rFonts w:ascii="Times New Roman" w:hAnsi="Times New Roman" w:eastAsia="Times New Roman" w:cs="Times New Roman"/>
          <w:color w:val="121212"/>
          <w:shd w:val="clear" w:color="auto" w:fill="FFFFFF"/>
          <w:lang w:val="cy-GB" w:eastAsia="cy-GB" w:bidi="cy-GB"/>
        </w:rPr>
        <w:t xml:space="preserve">Y gallu i addysgu un neu ragor o'r modiwlau canlynol: Cyfraith ac Ymarfer Busnes, Ymarfer Eiddo, Ymgyfreitha Sifil a Throseddol.</w:t>
      </w:r>
    </w:p>
    <w:sectPr>
      <w:pgSz w:w="11906" w:h="16838"/>
      <w:pgMar w:top="1440" w:right="1440" w:bottom="1440" w:left="1440" w:header="708" w:footer="708"/>
      <w15:footnoteColumns w:val="1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200001FF" w:csb1="00000000"/>
  </w:font>
</w:fonts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suff w:val="tab"/>
      <w:lvlText w:val=""/>
      <w:pPr>
        <w:ind w:left="567" w:hanging="567"/>
        <w:tabs>
          <w:tab w:val="num" w:pos="567"/>
        </w:tabs>
      </w:pPr>
      <w:rPr>
        <w:rFonts w:hint="default" w:ascii="Symbol" w:hAnsi="Symbol" w:eastAsia="Symbol" w:cs="Symbol"/>
        <w:b w:val="off"/>
        <w:i w:val="off"/>
        <w:strike w:val="off"/>
        <w:color w:val="auto"/>
        <w:position w:val="0"/>
        <w:sz w:val="24"/>
        <w:u w:val="none"/>
        <w:shd w:val="clear" w:color="auto" w:fill="auto"/>
      </w:rPr>
    </w:lvl>
  </w:abstractNum>
  <w:abstractNum w:abstractNumId="1">
    <w:multiLevelType w:val="singleLevel"/>
    <w:lvl w:ilvl="0">
      <w:start w:val="1"/>
      <w:numFmt w:val="bullet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 w:cs="Symbol"/>
        <w:b w:val="off"/>
        <w:i w:val="off"/>
        <w:strike w:val="off"/>
        <w:color w:val="auto"/>
        <w:position w:val="0"/>
        <w:sz w:val="24"/>
        <w:u w:val="none"/>
        <w:shd w:val="clear" w:color="auto" w:fill="auto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pPr>
        <w:ind w:left="567" w:hanging="567"/>
        <w:tabs>
          <w:tab w:val="num" w:pos="567"/>
        </w:tabs>
      </w:pPr>
      <w:rPr>
        <w:rFonts w:hint="default" w:ascii="Times New Roman" w:hAnsi="Times New Roman" w:eastAsia="Times New Roman" w:cs="Times New Roman"/>
        <w:b w:val="off"/>
        <w:i w:val="off"/>
        <w:strike w:val="off"/>
        <w:color w:val="auto"/>
        <w:position w:val="0"/>
        <w:sz w:val="24"/>
        <w:u w:val="none"/>
        <w:shd w:val="clear" w:color="auto" w:fill="auto"/>
      </w:rPr>
    </w:lvl>
  </w:abstractNum>
  <w:abstractNum w:abstractNumId="3">
    <w:multiLevelType w:val="singleLevel"/>
    <w:lvl w:ilvl="0">
      <w:start w:val="4"/>
      <w:numFmt w:val="decimal"/>
      <w:suff w:val="tab"/>
      <w:lvlText w:val="%1."/>
      <w:pPr>
        <w:ind w:left="567" w:hanging="567"/>
        <w:tabs>
          <w:tab w:val="num" w:pos="567"/>
        </w:tabs>
      </w:pPr>
      <w:rPr>
        <w:rFonts w:hint="default" w:ascii="Times New Roman" w:hAnsi="Times New Roman" w:eastAsia="Times New Roman" w:cs="Times New Roman"/>
        <w:b w:val="off"/>
        <w:i w:val="off"/>
        <w:strike w:val="off"/>
        <w:color w:val="121212"/>
        <w:position w:val="0"/>
        <w:sz w:val="24"/>
        <w:u w:val="none"/>
        <w:shd w:val="clear" w:color="auto" w:fill="FFFFFF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 xmlns:mc="http://schemas.openxmlformats.org/markup-compatibility/2006" xmlns:tx24="http://schemas.textcontrol.com/tx/2400" xmlns:tx25="http://schemas.textcontrol.com/tx/2500" mc:Ignorable="tx24 tx25">
  <w:bordersDoNotSurroundHeader/>
  <w:defaultTabStop w:val="1134"/>
  <w:compat>
    <w:noExtraLineSpacing/>
    <w:doNotUseHTMLParagraphAutoSpacing/>
    <w:compatSetting w:name="compatibilityMode" w:uri="http://schemas.microsoft.com/office/word" w:val="15"/>
  </w:compat>
  <tx24:txVer tx24:val="32.0.434.500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style w:type="paragraph" w:styleId="[Normal]" w:customStyle="1">
    <w:name w:val="[Normal]"/>
    <w:basedOn w:val="Normal"/>
    <w:next w:val="[Normal]"/>
    <w:qFormat/>
    <w:pPr>
      <w:widowControl w:val="off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hAnsi="Arial" w:eastAsia="Arial" w:cs="Arial"/>
      <w:sz w:val="20"/>
      <w:szCs w:val="20"/>
      <w:lang w:val="en-GB" w:eastAsia="en-GB" w:bidi="en-GB"/>
    </w:rPr>
  </w:style>
  <w:style w:type="paragraph" w:styleId="Normal">
    <w:name w:val="Normal"/>
    <w:next w:val="Normal"/>
    <w:qFormat/>
    <w:pPr>
      <w:widowControl w:val="on"/>
      <w:shd w:val="clear" w:color="auto" w:fill="auto"/>
      <w:spacing w:before="0" w:after="160" w:line="259" w:lineRule="auto"/>
      <w:ind w:left="0" w:right="0" w:firstLine="0"/>
      <w:jc w:val="left"/>
      <w:outlineLvl w:val="9"/>
    </w:pPr>
    <w:rPr>
      <w:rFonts w:ascii="Calibri" w:hAnsi="Calibri" w:eastAsia="Calibri" w:cs="Calibri"/>
      <w:b w:val="off"/>
      <w:bCs w:val="off"/>
      <w:i w:val="off"/>
      <w:iCs w:val="off"/>
      <w:caps w:val="off"/>
      <w:smallCaps w:val="off"/>
      <w:strike w:val="off"/>
      <w:color w:val="auto"/>
      <w:spacing w:val="0"/>
      <w:w w:val="100"/>
      <w:position w:val="0"/>
      <w:sz w:val="22"/>
      <w:szCs w:val="22"/>
      <w:shd w:val="clear" w:color="auto" w:fill="auto"/>
      <w:vertAlign w:val="baseline"/>
      <w:rtl w:val="off"/>
      <w:lang w:val="cy-GB" w:eastAsia="cy-GB" w:bidi="cy-GB"/>
    </w:rPr>
  </w:style>
  <w:style w:type="character" w:styleId="Strong">
    <w:name w:val="Strong"/>
    <w:qFormat/>
    <w:rPr>
      <w:b/>
      <w:bCs/>
      <w:rtl w:val="off"/>
    </w:rPr>
  </w:style>
  <w:style w:type="paragraph" w:styleId="ListParagraph">
    <w:name w:val="List Paragraph"/>
    <w:basedOn w:val="Normal"/>
    <w:next w:val="ListParagraph"/>
    <w:qFormat/>
    <w:pPr>
      <w:spacing w:line="278" w:lineRule="auto"/>
      <w:ind w:left="720"/>
    </w:pPr>
    <w:rPr>
      <w:sz w:val="24"/>
      <w:szCs w:val="24"/>
      <w:lang w:val="cy-GB" w:eastAsia="cy-GB" w:bidi="cy-GB"/>
    </w:rPr>
  </w:style>
  <w:style w:type="character" w:styleId="normaltextrun" w:customStyle="1">
    <w:name w:val="normaltextrun"/>
    <w:qFormat/>
    <w:rPr>
      <w:rtl w:val="off"/>
    </w:rPr>
  </w:style>
  <w:style w:type="character" w:styleId="eop" w:customStyle="1">
    <w:name w:val="eop"/>
    <w:qFormat/>
    <w:rPr>
      <w:rtl w:val="off"/>
    </w:rPr>
  </w:style>
  <w:style w:type="paragraph" w:styleId="paragraph" w:customStyle="1">
    <w:name w:val="paragraph"/>
    <w:basedOn w:val="Normal"/>
    <w:next w:val="paragraph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cy-GB" w:eastAsia="cy-GB" w:bidi="cy-GB"/>
    </w:rPr>
  </w:style>
  <w:style w:type="character" w:styleId="Hyperlink">
    <w:name w:val="Hyperlink"/>
    <w:qFormat/>
    <w:rPr>
      <w:color w:val="0563C1"/>
      <w:u w:val="single"/>
      <w:rtl w:val="off"/>
    </w:rPr>
  </w:style>
  <w:style w:type="character" w:styleId="UnresolvedMention">
    <w:name w:val="Unresolved Mention"/>
    <w:qFormat/>
    <w:rPr>
      <w:color w:val="605E5C"/>
      <w:shd w:val="clear" w:color="auto" w:fill="E1DFDD"/>
      <w:rtl w:val="off"/>
    </w:rPr>
  </w:style>
  <w:style w:type="character" w:styleId="questioninput" w:customStyle="1">
    <w:name w:val="questioninput"/>
    <w:qFormat/>
    <w:rPr>
      <w:rtl w:val="off"/>
    </w:rPr>
  </w:style>
  <w:style w:type="character" w:styleId="CommentReference">
    <w:name w:val="annotation reference"/>
    <w:qFormat/>
    <w:rPr>
      <w:sz w:val="16"/>
      <w:szCs w:val="16"/>
      <w:rtl w:val="off"/>
    </w:rPr>
  </w:style>
  <w:style w:type="paragraph" w:styleId="CommentText">
    <w:name w:val="annotation text"/>
    <w:basedOn w:val="Normal"/>
    <w:next w:val="CommentText"/>
    <w:qFormat/>
    <w:pPr>
      <w:spacing w:line="240" w:lineRule="auto"/>
    </w:pPr>
    <w:rPr>
      <w:sz w:val="20"/>
      <w:szCs w:val="20"/>
      <w:lang w:val="cy-GB" w:eastAsia="cy-GB" w:bidi="cy-GB"/>
    </w:rPr>
  </w:style>
  <w:style w:type="paragraph" w:styleId="CommentSubject">
    <w:name w:val="annotation subject"/>
    <w:basedOn w:val="CommentText"/>
    <w:next w:val="CommentText"/>
    <w:qFormat/>
    <w:pPr/>
    <w:rPr>
      <w:b/>
      <w:bCs/>
      <w:lang w:val="cy-GB" w:eastAsia="cy-GB" w:bidi="cy-GB"/>
    </w:rPr>
  </w:style>
  <w:style w:type="character" w:styleId="Comment Text Char" w:customStyle="1">
    <w:name w:val="Comment Text Char"/>
    <w:qFormat/>
    <w:rPr>
      <w:sz w:val="20"/>
      <w:szCs w:val="20"/>
      <w:rtl w:val="off"/>
    </w:rPr>
  </w:style>
  <w:style w:type="character" w:styleId="Comment Subject Char" w:customStyle="1">
    <w:name w:val="Comment Subject Char"/>
    <w:basedOn w:val="Comment Text Char"/>
    <w:qFormat/>
    <w:rPr>
      <w:b/>
      <w:bCs/>
      <w:sz w:val="20"/>
      <w:szCs w:val="20"/>
    </w:rPr>
  </w:style>
  <w:style w:type="paragraph" w:styleId="Revision">
    <w:name w:val="Revision"/>
    <w:basedOn w:val="[Normal]"/>
    <w:next w:val="Revision"/>
    <w:qFormat/>
    <w:pPr>
      <w:widowControl w:val="on"/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</w:pPr>
    <w:rPr>
      <w:rFonts w:ascii="Calibri" w:hAnsi="Calibri" w:eastAsia="Calibri" w:cs="Calibri"/>
      <w:sz w:val="22"/>
      <w:szCs w:val="22"/>
      <w:lang w:val="cy-GB" w:eastAsia="cy-GB" w:bidi="cy-GB"/>
    </w:rPr>
  </w:style>
</w:styles>
</file>

<file path=word/_rels/document.xml.rels><?xml version="1.0" encoding="UTF-8" standalone="yes"?><Relationships xmlns="http://schemas.openxmlformats.org/package/2006/relationships">
	<Relationship Id="rId00005" Type="http://schemas.openxmlformats.org/officeDocument/2006/relationships/styles" Target="styles.xml"/>
	<Relationship Id="rId00006" Type="http://schemas.openxmlformats.org/officeDocument/2006/relationships/numbering" Target="numbering.xml"/>
	<Relationship Id="rId00007" Type="http://schemas.openxmlformats.org/officeDocument/2006/relationships/fontTable" Target="fontTable.xml"/>
	<Relationship Id="rId00008" Type="http://schemas.openxmlformats.org/officeDocument/2006/relationships/settings" Target="settings.xm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Pike</dc:creator>
  <dcterms:created xsi:type="dcterms:W3CDTF">2026-05-19T11:20:00Z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145d26a4-a474-40dc-802c-b19b261c9807</vt:lpwstr>
  </property>
</Properties>
</file>