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bmp" ContentType="image/x-bmp"/>
  <Default Extension="gif" ContentType="image/gif"/>
  <Default Extension="png" ContentType="image/png"/>
  <Default Extension="tiff" ContentType="image/tiff"/>
  <Default Extension="tif" ContentType="image/tiff"/>
  <Default Extension="wmf" ContentType="image/x-wmf"/>
  <Default Extension="emf" ContentType="image/x-emf"/>
  <Default Extension="wdp" ContentType="image/vnd.ms-photo"/>
  <Default Extension="jxr" ContentType="image/vnd.ms-photo"/>
  <Default Extension="dds" ContentType="image/vnd.ms-dds"/>
  <Default Extension="heic" ContentType="image/heic"/>
  <Default Extension="svg" ContentType="image/svg+xml"/>
  <Default Extension="bin" ContentType="application/vnd.openxmlformats-officedocument.oleOb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
	<Relationship Id="rId00001" Type="http://schemas.openxmlformats.org/officeDocument/2006/relationships/officeDocument" Target="word/document.xml"/>
	<Relationship Id="rId00002" Type="http://schemas.openxmlformats.org/package/2006/relationships/metadata/core-properties" Target="docProps/core.xml"/>
	<Relationship Id="rId00003" Type="http://schemas.openxmlformats.org/officeDocument/2006/relationships/extended-properties" Target="docProps/app.xml"/>
	<Relationship Id="rId00004" Type="http://schemas.openxmlformats.org/officeDocument/2006/relationships/custom-properties" Target="docProps/custom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body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b/>
          <w:bCs/>
          <w:i/>
          <w:iCs/>
          <w:u w:val="single"/>
          <w:lang w:val="cy-GB" w:eastAsia="cy-GB" w:bidi="cy-GB"/>
        </w:rPr>
      </w:pPr>
      <w:r>
        <w:rPr>
          <w:b/>
          <w:bCs/>
          <w:u w:val="single"/>
          <w:lang w:val="cy-GB" w:eastAsia="cy-GB" w:bidi="cy-GB"/>
        </w:rPr>
        <w:t xml:space="preserve">DIBEN Y SWYDD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i/>
          <w:iCs/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lang w:val="cy-GB" w:eastAsia="cy-GB" w:bidi="cy-GB"/>
        </w:rPr>
      </w:pPr>
      <w:r>
        <w:rPr>
          <w:lang w:val="cy-GB" w:eastAsia="cy-GB" w:bidi="cy-GB"/>
        </w:rPr>
        <w:t xml:space="preserve">Darparu gwasanaeth gweinyddol ar gyfer WISERD, gan wneud amrywiaeth o dasgau gweinyddol arferol a’u cwblhau i fodloni gofynion gweithredol a gwasanaethu cwsmeriaid. Darparu cefnogaeth weinyddol i Dîm Hwb WISERD a chydweithwyr academaidd ar draws y Sefydliad, gan sicrhau bod gweithgareddau allweddol yn cael eu cefnogi'n effeithiol a bod prosesau a chofnodion gweinyddol yn cael eu cynnal yn gywir.6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lang w:val="cy-GB" w:eastAsia="cy-GB" w:bidi="cy-GB"/>
        </w:rPr>
      </w:pPr>
      <w:r>
        <w:rPr>
          <w:lang w:val="cy-GB" w:eastAsia="cy-GB" w:bidi="cy-GB"/>
        </w:rPr>
        <w:t xml:space="preserve">Bydd deiliad y rôl yn cydweithio â chydweithwyr ar draws WISERD, Prifysgol Caerdydd a phartneriaeth ehangach WISERD i gefnogi’r gwaith o gyflawni gwaith ymchwil a gweithgareddau gweithredol ac ymgysylltu yn effeithiol. Bydd y rôl yn cynnwys amrywiaeth o weithgareddau gweinyddol, gan gynnwys cefnogi cyfarfodydd a digwyddiadau, cynnal cofnodion a chronfeydd data, prosesu dogfennau ariannol arferol, ymateb i ymholiadau a darparu cymorth gweinyddol cyffredinol i'r tîm.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b/>
          <w:bCs/>
          <w:u w:val="single"/>
          <w:lang w:val="cy-GB" w:eastAsia="cy-GB" w:bidi="cy-GB"/>
        </w:rPr>
      </w:pPr>
      <w:r>
        <w:rPr>
          <w:b/>
          <w:bCs/>
          <w:u w:val="single"/>
          <w:lang w:val="cy-GB" w:eastAsia="cy-GB" w:bidi="cy-GB"/>
        </w:rPr>
        <w:t xml:space="preserve">DYLETSWYDDAU A CHYFRIFOLDEBAU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b/>
          <w:bCs/>
          <w:lang w:val="cy-GB" w:eastAsia="cy-GB" w:bidi="cy-GB"/>
        </w:rPr>
      </w:pPr>
      <w:r>
        <w:rPr>
          <w:b/>
          <w:bCs/>
          <w:lang w:val="cy-GB" w:eastAsia="cy-GB" w:bidi="cy-GB"/>
        </w:rPr>
        <w:t xml:space="preserve">Prif Ddyletswyddau</w:t>
      </w:r>
    </w:p>
    <w:p>
      <w:pPr>
        <w:pStyle w:val="Normal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Ymdrin ag ystod o ymholiadau gan gwsmeriaid mewnol (y staff a’r myfyrwyr) a chwsmeriaid allanol (aelodau o’r cyhoedd) mewn modd proffesiynol, gan ddeall eu hanghenion ac addasu'r ymatebion safonol yn unol â hynny.</w:t>
      </w:r>
    </w:p>
    <w:p>
      <w:pPr>
        <w:pStyle w:val="Normal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Ymgymryd ag amrywiaeth o ddyletswyddau gweinyddol i gefnogi gweithgareddau WISERD, gan gynnwys prosiectau ymchwil, gweithgareddau ymgysylltu, digwyddiadau a gweithrediad Tîm Hwb WISERD o ddydd i ddydd.</w:t>
      </w:r>
    </w:p>
    <w:p>
      <w:pPr>
        <w:pStyle w:val="Normal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Gweithio ar y cyd â chydweithwyr ar draws WISERD, Prifysgol Caerdydd a'r pum prifysgol bartner, gan gyfrannu at waith tîm effeithiol a chefnogi’r gwaith o drefnu a chyflwyno cyfarfodydd, gweithdai, diwrnodau i ffwrdd, cynadleddau a gweithgareddau WISERD eraill.</w:t>
      </w:r>
    </w:p>
    <w:p>
      <w:pPr>
        <w:pStyle w:val="Normal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Gweithio gydag eraill i wneud argymhellion ar gyfer datblygu a gwella prosesau a gweithdrefnau presennol y Brifysgol, gan ddefnyddio mentergarwch i nodi cyfleoedd i wella systemau gweinyddol ac arferion gwaith.</w:t>
      </w:r>
    </w:p>
    <w:p>
      <w:pPr>
        <w:pStyle w:val="Normal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Creu a chynnal perthnasoedd gwaith da gyda chydweithwyr, adrannau'r Brifysgol, cysylltiadau allanol a rhanddeiliaid allweddol eraill i helpu i wella lefelau gwasanaeth a chefnogi’r gwaith o ddarparu gwasanaethau gweinyddol yn effeithiol.</w:t>
      </w:r>
    </w:p>
    <w:p>
      <w:pPr>
        <w:pStyle w:val="Normal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Casglu ac adolygu data er mwyn diweddaru systemau gweinyddol, megis cronfeydd data a thaenlenni, gan sicrhau bod y wybodaeth yn gywir ac wedi’i diweddaru, a thynnu sylw eich rheolwr llinell at dueddiadau, patrymau neu broblemau sylfaenol, lle bo’n briodol.</w:t>
      </w:r>
    </w:p>
    <w:p>
      <w:pPr>
        <w:pStyle w:val="Normal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Cynllunio, blaenoriaethu a threfnu eich llwyth gwaith eich hun yn effeithiol, gan reoli tasgau arferol a brys ac addasu i ofynion gweithredol sy'n newid o fewn amserlenni y cytunwyd arnynt.</w:t>
      </w:r>
    </w:p>
    <w:p>
      <w:pPr>
        <w:pStyle w:val="Normal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Cyfrannu'n weithredol at lwyddiant tîm WISERD drwy ddarparu cefnogaeth weinyddol hyblyg ar draws gweithgareddau WISERD a chynorthwyo cydweithwyr yn ôl yr angen.</w:t>
      </w:r>
    </w:p>
    <w:p>
      <w:pPr>
        <w:pStyle w:val="Norma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/>
        <w:rPr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b/>
          <w:bCs/>
          <w:lang w:val="cy-GB" w:eastAsia="cy-GB" w:bidi="cy-GB"/>
        </w:rPr>
      </w:pPr>
      <w:r>
        <w:rPr>
          <w:b/>
          <w:bCs/>
          <w:lang w:val="cy-GB" w:eastAsia="cy-GB" w:bidi="cy-GB"/>
        </w:rPr>
        <w:t xml:space="preserve">Dyletswyddau Penodol </w:t>
      </w:r>
    </w:p>
    <w:p>
      <w:pPr>
        <w:pStyle w:val="Normal"/>
        <w:numPr>
          <w:ilvl w:val="0"/>
          <w:numId w:val="2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Creu dogfennau, trefnu cyfarfodydd, paratoi agendâu a phapurau ategol, cymryd cofnodion neu nodiadau lle bo angen, a sicrhau bod ystafelloedd yn cael eu llogi, arlwyaeth yn cael ei threfnu a threfniadau teithio yn cael eu gwneud.</w:t>
      </w:r>
    </w:p>
    <w:p>
      <w:pPr>
        <w:pStyle w:val="Normal"/>
        <w:numPr>
          <w:ilvl w:val="0"/>
          <w:numId w:val="2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Darparu cefnogaeth weinyddol ar gyfer digwyddiadau a gweithgareddau WISERD, gan gynnwys gweithdai, cyfarfodydd, diwrnodau i ffwrdd a chynadleddau. Gall hyn gynnwys cyfathrebu â chynrychiolwyr, paratoi deunyddiau, cefnogi trefniadau logistaidd, cysylltu â rhanddeiliaid a darparu cymorth blaen tŷ.</w:t>
      </w:r>
    </w:p>
    <w:p>
      <w:pPr>
        <w:pStyle w:val="Normal"/>
        <w:numPr>
          <w:ilvl w:val="0"/>
          <w:numId w:val="2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Darparu cefnogaeth weinyddol ar gyfer prosesau ariannol arferol, gan gynnwys prosesu hawliadau treuliau, archebion prynu, ceisiadau lletygarwch a dogfennaeth ariannol arall yn unol â gweithdrefnau'r Brifysgol.</w:t>
      </w:r>
    </w:p>
    <w:p>
      <w:pPr>
        <w:pStyle w:val="Normal"/>
        <w:numPr>
          <w:ilvl w:val="0"/>
          <w:numId w:val="2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Cynnal a diweddaru cronfeydd data, taenlenni a chofnodion gweinyddol eraill, gan wirio a glanhau data'n rheolaidd i sicrhau bod gwybodaeth yn gywir ac yn gyflawn, ac adrodd am unrhyw anghysondebau neu broblemau i'r Rheolwr Llinell.</w:t>
      </w:r>
    </w:p>
    <w:p>
      <w:pPr>
        <w:pStyle w:val="Normal"/>
        <w:numPr>
          <w:ilvl w:val="0"/>
          <w:numId w:val="2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Darparu cefnogaeth weinyddol ar gyfer newidiadau staff, gan gynnwys gweithgareddau ymsefydlu ac ymadael staff, cynnal cofnodion perthnasol a chysylltu â thimau priodol y Brifysgol yn ôl yr angen.</w:t>
      </w:r>
    </w:p>
    <w:p>
      <w:pPr>
        <w:pStyle w:val="Normal"/>
        <w:numPr>
          <w:ilvl w:val="0"/>
          <w:numId w:val="2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Darparu cefnogaeth weinyddol i brosiectau ymchwil WISERD a gweithgareddau cysylltiedig, gan gynnwys cynnal cofnodion prosiectau, cydlynu gofynion gweinyddol arferol a chefnogi’r gwaith o gyflawni prosiectau'n effeithiol.</w:t>
      </w:r>
    </w:p>
    <w:p>
      <w:pPr>
        <w:pStyle w:val="Normal"/>
        <w:numPr>
          <w:ilvl w:val="0"/>
          <w:numId w:val="2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Darparu cefnogaeth weinyddol ar gyfer gweithgareddau cyfathrebu WISERD, gan gynnwys cynnal gwybodaeth ar-lein a diweddaru cynnwys y we lle bo angen ac yn unol â gweithdrefnau'r Brifysgol.</w:t>
      </w:r>
    </w:p>
    <w:p>
      <w:pPr>
        <w:pStyle w:val="Normal"/>
        <w:numPr>
          <w:ilvl w:val="0"/>
          <w:numId w:val="2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Darparu gwasanaeth gweinyddol a gofal priodol wrth y dderbynfa i ymwelwyr â WISERD a chyfleusterau ymchwil cysylltiedig, gan gynnwys cynorthwyo gyda threfniadau ymwelwyr a sicrhau bod gweithdrefnau perthnasol yn cael eu dilyn.</w:t>
      </w:r>
    </w:p>
    <w:p>
      <w:pPr>
        <w:pStyle w:val="Normal"/>
        <w:numPr>
          <w:ilvl w:val="0"/>
          <w:numId w:val="2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Darparu cefnogaeth i uwch aelodau WISERD wrth reoli eu dyddiaduron ac amserlennu, yn ôl yr angen.</w:t>
      </w:r>
    </w:p>
    <w:p>
      <w:pPr>
        <w:pStyle w:val="Normal"/>
        <w:numPr>
          <w:ilvl w:val="0"/>
          <w:numId w:val="2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 w:hanging="360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Cynorthwyo gyda’r gwaith o baratoi, casglu a dosbarthu gwybodaeth a dogfennaeth ar gyfer cynulleidfaoedd mewnol ac allanol.</w:t>
      </w:r>
    </w:p>
    <w:p>
      <w:pPr>
        <w:pStyle w:val="Norma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360"/>
        <w:jc w:val="both"/>
        <w:rPr>
          <w:color w:val="EE0000"/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b/>
          <w:bCs/>
          <w:lang w:val="cy-GB" w:eastAsia="cy-GB" w:bidi="cy-GB"/>
        </w:rPr>
      </w:pPr>
      <w:r>
        <w:rPr>
          <w:b/>
          <w:bCs/>
          <w:lang w:val="cy-GB" w:eastAsia="cy-GB" w:bidi="cy-GB"/>
        </w:rPr>
        <w:t xml:space="preserve">Dyletswyddau Cyffredinol</w:t>
      </w:r>
    </w:p>
    <w:p>
      <w:pPr>
        <w:pStyle w:val="ListParagraph"/>
        <w:numPr>
          <w:ilvl w:val="0"/>
          <w:numId w:val="3"/>
        </w:numPr>
        <w:tabs>
          <w:tab w:val="left" w:pos="357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357" w:hanging="357"/>
        <w:rPr>
          <w:lang w:val="cy-GB" w:eastAsia="cy-GB" w:bidi="cy-GB"/>
        </w:rPr>
      </w:pPr>
      <w:r>
        <w:rPr>
          <w:lang w:val="cy-GB" w:eastAsia="cy-GB" w:bidi="cy-GB"/>
        </w:rPr>
        <w:t xml:space="preserve">Cadw at holl bolisïau'r Brifysgol a datblygu’n bersonol ac yn broffesiynol mewn ffordd briodol.</w:t>
      </w:r>
    </w:p>
    <w:p>
      <w:pPr>
        <w:pStyle w:val="ListParagraph"/>
        <w:numPr>
          <w:ilvl w:val="0"/>
          <w:numId w:val="3"/>
        </w:numPr>
        <w:tabs>
          <w:tab w:val="left" w:pos="357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57" w:hanging="357"/>
        <w:rPr>
          <w:lang w:val="cy-GB" w:eastAsia="cy-GB" w:bidi="cy-GB"/>
        </w:rPr>
      </w:pPr>
      <w:r>
        <w:rPr>
          <w:lang w:val="cy-GB" w:eastAsia="cy-GB" w:bidi="cy-GB"/>
        </w:rPr>
        <w:t xml:space="preserve">Sicrhau eich bod yn defnyddio eich dealltwriaeth o gyfrinachedd, diogelu data a diogelwch gwybodaeth wrth gyflawni eich holl ddyletswyddau.</w:t>
      </w:r>
    </w:p>
    <w:p>
      <w:pPr>
        <w:pStyle w:val="ListParagraph"/>
        <w:numPr>
          <w:ilvl w:val="0"/>
          <w:numId w:val="3"/>
        </w:numPr>
        <w:tabs>
          <w:tab w:val="left" w:pos="357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357" w:hanging="357"/>
        <w:rPr>
          <w:lang w:val="cy-GB" w:eastAsia="cy-GB" w:bidi="cy-GB"/>
        </w:rPr>
      </w:pPr>
      <w:r>
        <w:rPr>
          <w:lang w:val="cy-GB" w:eastAsia="cy-GB" w:bidi="cy-GB"/>
        </w:rPr>
        <w:t xml:space="preserve">Cefnogi arferion gwaith cynhwysol a chyfrannu at sicrhau bod prosesau gweinyddol, digwyddiadau a chyfathrebu yn ystyried gofynion hygyrchedd a chydraddoldeb.</w:t>
      </w:r>
    </w:p>
    <w:p>
      <w:pPr>
        <w:pStyle w:val="Normal"/>
        <w:numPr>
          <w:ilvl w:val="0"/>
          <w:numId w:val="3"/>
        </w:numPr>
        <w:tabs>
          <w:tab w:val="left" w:pos="357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357" w:hanging="357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Cyflawni dyletswyddau eraill nad ydynt wedi’u nodi uchod ond sy’n cyd-fynd â gofynion y swydd.</w:t>
      </w:r>
    </w:p>
    <w:p>
      <w:pPr>
        <w:pStyle w:val="Normal"/>
        <w:numPr>
          <w:ilvl w:val="0"/>
          <w:numId w:val="3"/>
        </w:numPr>
        <w:tabs>
          <w:tab w:val="left" w:pos="357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357" w:hanging="357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Arddel Gwerthoedd ac Ymddygiad y Gwasanaethau Proffesiynol neu’r hyn sy’n cyfateb iddyn nhw yn lleol.</w:t>
      </w:r>
    </w:p>
    <w:p>
      <w:pPr>
        <w:pStyle w:val="Normal"/>
        <w:numPr>
          <w:ilvl w:val="0"/>
          <w:numId w:val="3"/>
        </w:numPr>
        <w:tabs>
          <w:tab w:val="left" w:pos="357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357" w:hanging="357"/>
        <w:jc w:val="both"/>
        <w:rPr>
          <w:lang w:val="cy-GB" w:eastAsia="cy-GB" w:bidi="cy-GB"/>
        </w:rPr>
      </w:pPr>
      <w:r>
        <w:rPr>
          <w:lang w:val="cy-GB" w:eastAsia="cy-GB" w:bidi="cy-GB"/>
        </w:rPr>
        <w:t xml:space="preserve">Darparu cefnogaeth weinyddol hyblyg ar draws gweithgareddau WISERD mewn ymateb i anghenion a blaenoriaethau gweithredol sy'n newid.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color w:val="EE0000"/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color w:val="EE0000"/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b/>
          <w:bCs/>
          <w:u w:val="single"/>
          <w:lang w:val="cy-GB" w:eastAsia="cy-GB" w:bidi="cy-GB"/>
        </w:rPr>
      </w:pPr>
      <w:r>
        <w:rPr>
          <w:b/>
          <w:bCs/>
          <w:u w:val="single"/>
          <w:lang w:val="cy-GB" w:eastAsia="cy-GB" w:bidi="cy-GB"/>
        </w:rPr>
        <w:t xml:space="preserve">MANYLEB YR UNIGOLYN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color w:val="EE0000"/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u w:val="single"/>
          <w:lang w:val="cy-GB" w:eastAsia="cy-GB" w:bidi="cy-GB"/>
        </w:rPr>
      </w:pPr>
      <w:r>
        <w:rPr>
          <w:u w:val="single"/>
          <w:lang w:val="cy-GB" w:eastAsia="cy-GB" w:bidi="cy-GB"/>
        </w:rPr>
        <w:t xml:space="preserve">Meini Prawf Hanfodol </w:t>
      </w:r>
    </w:p>
    <w:p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Y gallu i gyflawni amrywiaeth o dasgau gweinyddol, gan gynnwys ysgrifennu'n glir ac yn gryno.</w:t>
      </w:r>
    </w:p>
    <w:p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Profiad o weithio mewn cyd-destun gweinyddol neu swyddfa.</w:t>
      </w:r>
    </w:p>
    <w:p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Profiad o ddefnyddio pecynnau TG a ddefnyddir yn aml mewn swyddfa (e.e. MS Office, e-bost a chronfeydd data).</w:t>
      </w:r>
    </w:p>
    <w:p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Y gallu i sefydlu a chynnal systemau a gweithdrefnau gweinyddol safonol, gan gynnwys defnyddio systemau'r Brifysgol i gasglu a chofnodi data ar-lein ac ar ffurf copi caled. (Bydd hyfforddiant yn cael ei roi pan fo angen).</w:t>
      </w:r>
    </w:p>
    <w:p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Y gallu i gyfathrebu ag ystod eang o bobl mewn modd effeithiol a chwrtais ond gan gynnal safonau proffesiynol yn ogystal ag addasu eich iaith a’ch dull cyfathrebu gan ddibynnu ar y bobl rydych yn cyfathrebu â nhw.</w:t>
      </w:r>
    </w:p>
    <w:p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Y gallu i weithio’n dda gyda'ch tîm, gan wybod sut i roi cyngor, arweiniad ac adborth (i gydweithwyr ac aelodau o'r cyhoedd) fel y bo'n briodol. </w:t>
      </w:r>
    </w:p>
    <w:p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Y gallu i ymdrin â cheisiadau am wybodaeth neu wasanaeth, gan ddatrys problemau cwsmeriaid pan fo’n briodol neu uwchgyfeirio pan fo angen.</w:t>
      </w:r>
    </w:p>
    <w:p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hanging="360"/>
        <w:rPr>
          <w:rStyle w:val="normaltextrun"/>
          <w:lang w:val="cy-GB" w:eastAsia="cy-GB" w:bidi="cy-GB"/>
        </w:rPr>
      </w:pPr>
      <w:r>
        <w:rPr>
          <w:rStyle w:val="normaltextrun"/>
          <w:shd w:val="clear" w:color="auto" w:fill="FFFFFF"/>
          <w:lang w:val="cy-GB" w:eastAsia="cy-GB" w:bidi="cy-GB"/>
        </w:rPr>
        <w:t xml:space="preserve">Y gallu i gynllunio a threfnu eich llwyth gwaith eich hun yn ôl yr amserlen y cytunwyd arni ac a bennwyd gan eich Rheolwr Llinell.</w:t>
      </w:r>
    </w:p>
    <w:p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Y gallu i gymryd y cam cyntaf i ddatrys problemau ac ymateb i ymholiadau, gan ddod o hyd i'r ateb gorau a'i gynnig.</w:t>
      </w:r>
    </w:p>
    <w:p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Y gallu i ddarparu cefnogaeth weinyddol effeithiol ar gyfer cyfarfodydd, digwyddiadau a gweithgareddau eraill, gan gynnwys cydlynu trefniadau a chyfathrebu â rhanddeiliaid perthnasol.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color w:val="EE0000"/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u w:val="single"/>
          <w:lang w:val="cy-GB" w:eastAsia="cy-GB" w:bidi="cy-GB"/>
        </w:rPr>
      </w:pPr>
      <w:r>
        <w:rPr>
          <w:u w:val="single"/>
          <w:lang w:val="cy-GB" w:eastAsia="cy-GB" w:bidi="cy-GB"/>
        </w:rPr>
        <w:t xml:space="preserve">Meini Prawf Dymunol </w:t>
      </w:r>
    </w:p>
    <w:p>
      <w:pPr>
        <w:pStyle w:val="ListParagraph"/>
        <w:numPr>
          <w:ilvl w:val="0"/>
          <w:numId w:val="6"/>
        </w:numPr>
        <w:tabs>
          <w:tab w:val="left" w:pos="86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left="862"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Profiad o weithio ym myd Addysg Uwch.</w:t>
      </w:r>
    </w:p>
    <w:p>
      <w:pPr>
        <w:pStyle w:val="ListParagraph"/>
        <w:numPr>
          <w:ilvl w:val="0"/>
          <w:numId w:val="6"/>
        </w:numPr>
        <w:tabs>
          <w:tab w:val="left" w:pos="86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left="862" w:hanging="360"/>
        <w:rPr>
          <w:lang w:val="cy-GB" w:eastAsia="cy-GB" w:bidi="cy-GB"/>
        </w:rPr>
      </w:pPr>
      <w:r>
        <w:rPr>
          <w:lang w:val="cy-GB" w:eastAsia="cy-GB" w:bidi="cy-GB"/>
        </w:rPr>
        <w:t xml:space="preserve">Y gallu i siarad/deall y Gymraeg neu’r parodrwydd i’w dysgu.</w:t>
      </w:r>
    </w:p>
    <w:p>
      <w:pPr>
        <w:pStyle w:val="Normal"/>
        <w:tabs>
          <w:tab w:val="left" w:pos="50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502"/>
        <w:rPr>
          <w:lang w:val="cy-GB" w:eastAsia="cy-GB" w:bidi="cy-GB"/>
        </w:rPr>
      </w:pPr>
    </w:p>
    <w:p>
      <w:pPr>
        <w:pStyle w:val="Normal"/>
        <w:tabs>
          <w:tab w:val="left" w:pos="50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502"/>
        <w:rPr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bCs/>
          <w:u w:val="single"/>
          <w:lang w:val="cy-GB" w:eastAsia="cy-GB" w:bidi="cy-GB"/>
        </w:rPr>
      </w:pPr>
      <w:r>
        <w:rPr>
          <w:b/>
          <w:bCs/>
          <w:u w:val="single"/>
          <w:lang w:val="cy-GB" w:eastAsia="cy-GB" w:bidi="cy-GB"/>
        </w:rPr>
        <w:t xml:space="preserve">Sefydliad Ymchwil Cymdeithasol ac Economaidd a Data Cymru (WISERD).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lang w:val="cy-GB" w:eastAsia="cy-GB" w:bidi="cy-GB"/>
        </w:rPr>
      </w:pPr>
      <w:r>
        <w:rPr>
          <w:lang w:val="cy-GB" w:eastAsia="cy-GB" w:bidi="cy-GB"/>
        </w:rPr>
        <w:t xml:space="preserve">Mae Sefydliad Ymchwil Cymdeithasol ac Economaidd a Data Cymru (WISERD) yn sefydliad ymchwil cenedlaethol, rhyngddisgyblaethol yn y gwyddorau cymdeithasol. Rydym wedi ein dynodi’n ganolfan ymchwil genedlaethol gan Lywodraeth Cymru. Gan ddefnyddio dulliau arloesol, mae ein hymchwil yn cwmpasu economeg, cymdeithaseg, daearyddiaeth a gwyddoniaeth wleidyddol.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lang w:val="cy-GB" w:eastAsia="cy-GB" w:bidi="cy-GB"/>
        </w:rPr>
      </w:pPr>
      <w:r>
        <w:rPr>
          <w:lang w:val="cy-GB" w:eastAsia="cy-GB" w:bidi="cy-GB"/>
        </w:rPr>
        <w:t xml:space="preserve">Rydym yn fenter ar y cyd rhwng prifysgolion Aberystwyth, Bangor, Caerdydd, De Cymru ac Abertawe – ac yn cydweithio i wella safon a maint ymchwil y gwyddorau cymdeithasol yng Nghymru a thu hwnt. Mae ein gwaith ymchwil yn ysgogi newid drwy ddylanwadu ar ddatblygiad polisïau ac arferion ar draws ystod o sectorau.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color w:val="EE0000"/>
          <w:lang w:val="cy-GB" w:eastAsia="cy-GB" w:bidi="cy-GB"/>
        </w:rPr>
      </w:pPr>
      <w:r>
        <w:rPr>
          <w:lang w:val="cy-GB" w:eastAsia="cy-GB" w:bidi="cy-GB"/>
        </w:rPr>
        <w:br w:type="textWrapping"/>
      </w:r>
      <w:r>
        <w:rPr>
          <w:lang w:val="cy-GB" w:eastAsia="cy-GB" w:bidi="cy-GB"/>
        </w:rPr>
        <w:t xml:space="preserve">Mae WISERD wedi'i leoli ym Mharc Ymchwil Gwyddorau Cymdeithasol Prifysgol Caerdydd (SPARK) ochr yn ochr â nifer fawr o ganolfannau ymchwil gwyddorau cymdeithasol eraill.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color w:val="EE0000"/>
          <w:lang w:val="cy-GB" w:eastAsia="cy-GB" w:bidi="cy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color w:val="EE0000"/>
          <w:lang w:val="cy-GB" w:eastAsia="cy-GB" w:bidi="cy-GB"/>
        </w:rPr>
      </w:pPr>
    </w:p>
    <w:sectPr>
      <w:pgSz w:w="11906" w:h="16838"/>
      <w:pgMar w:top="1440" w:right="1440" w:bottom="1440" w:left="1440" w:header="708" w:footer="708"/>
      <w15:footnoteColumns w:val="1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2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2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suff w:val="tab"/>
      <w:lvlText w:val=""/>
      <w:pPr>
        <w:ind w:left="360" w:hanging="360"/>
        <w:tabs>
          <w:tab w:val="num" w:pos="360"/>
        </w:tabs>
      </w:pPr>
      <w:rPr>
        <w:rFonts w:hint="default" w:ascii="Symbol" w:hAnsi="Symbol" w:eastAsia="Symbol" w:cs="Symbol"/>
        <w:b w:val="off"/>
        <w:i w:val="off"/>
        <w:strike w:val="off"/>
        <w:color w:val="auto"/>
        <w:position w:val="0"/>
        <w:sz w:val="22"/>
        <w:u w:val="none"/>
        <w:shd w:val="clear" w:color="auto" w:fill="auto"/>
      </w:rPr>
    </w:lvl>
  </w:abstractNum>
  <w:abstractNum w:abstractNumId="1">
    <w:multiLevelType w:val="singleLevel"/>
    <w:lvl w:ilvl="0">
      <w:start w:val="1"/>
      <w:numFmt w:val="bullet"/>
      <w:suff w:val="tab"/>
      <w:lvlText w:val=""/>
      <w:pPr>
        <w:ind w:left="360" w:hanging="360"/>
        <w:tabs>
          <w:tab w:val="num" w:pos="360"/>
        </w:tabs>
      </w:pPr>
      <w:rPr>
        <w:rFonts w:hint="default" w:ascii="Symbol" w:hAnsi="Symbol" w:eastAsia="Symbol" w:cs="Symbol"/>
        <w:b w:val="off"/>
        <w:i w:val="off"/>
        <w:strike w:val="off"/>
        <w:color w:val="auto"/>
        <w:position w:val="0"/>
        <w:sz w:val="20"/>
        <w:u w:val="none"/>
        <w:shd w:val="clear" w:color="auto" w:fill="auto"/>
      </w:rPr>
    </w:lvl>
  </w:abstractNum>
  <w:abstractNum w:abstractNumId="2">
    <w:multiLevelType w:val="singleLevel"/>
    <w:lvl w:ilvl="0">
      <w:start w:val="1"/>
      <w:numFmt w:val="bullet"/>
      <w:suff w:val="tab"/>
      <w:lvlText w:val=""/>
      <w:pPr>
        <w:ind w:left="357" w:hanging="357"/>
        <w:tabs>
          <w:tab w:val="num" w:pos="357"/>
        </w:tabs>
      </w:pPr>
      <w:rPr>
        <w:rFonts w:hint="default" w:ascii="Symbol" w:hAnsi="Symbol" w:eastAsia="Symbol" w:cs="Symbol"/>
        <w:b w:val="off"/>
        <w:i w:val="off"/>
        <w:strike w:val="off"/>
        <w:color w:val="auto"/>
        <w:position w:val="0"/>
        <w:sz w:val="20"/>
        <w:u w:val="none"/>
        <w:shd w:val="clear" w:color="auto" w:fill="auto"/>
      </w:rPr>
    </w:lvl>
  </w:abstractNum>
  <w:abstractNum w:abstractNumId="3">
    <w:multiLevelType w:val="singleLevel"/>
    <w:lvl w:ilvl="0">
      <w:start w:val="1"/>
      <w:numFmt w:val="decimal"/>
      <w:suff w:val="tab"/>
      <w:lvlText w:val="%1."/>
      <w:pPr>
        <w:ind w:left="720" w:hanging="360"/>
        <w:tabs>
          <w:tab w:val="num" w:pos="720"/>
        </w:tabs>
      </w:pPr>
      <w:rPr>
        <w:rFonts w:hint="default" w:ascii="Calibri" w:hAnsi="Calibri" w:eastAsia="Calibri" w:cs="Calibri"/>
        <w:b w:val="off"/>
        <w:i w:val="off"/>
        <w:strike w:val="off"/>
        <w:color w:val="auto"/>
        <w:position w:val="0"/>
        <w:sz w:val="22"/>
        <w:u w:val="none"/>
        <w:shd w:val="clear" w:color="auto" w:fill="auto"/>
      </w:rPr>
    </w:lvl>
  </w:abstractNum>
  <w:abstractNum w:abstractNumId="4">
    <w:multiLevelType w:val="singleLevel"/>
    <w:lvl w:ilvl="0">
      <w:start w:val="1"/>
      <w:numFmt w:val="decimal"/>
      <w:suff w:val="tab"/>
      <w:lvlText w:val="%1."/>
      <w:pPr>
        <w:ind w:left="862" w:hanging="360"/>
        <w:tabs>
          <w:tab w:val="num" w:pos="862"/>
        </w:tabs>
      </w:pPr>
      <w:rPr>
        <w:rFonts w:hint="default" w:ascii="Calibri" w:hAnsi="Calibri" w:eastAsia="Calibri" w:cs="Calibri"/>
        <w:b w:val="off"/>
        <w:i w:val="off"/>
        <w:strike w:val="off"/>
        <w:color w:val="auto"/>
        <w:position w:val="0"/>
        <w:sz w:val="22"/>
        <w:u w:val="none"/>
        <w:shd w:val="clear" w:color="auto" w:fil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"/>
    <w:lvlOverride w:ilvl="0">
      <w:lvl w:ilvl="0">
        <w:start w:val="1"/>
        <w:numFmt w:val="decimal"/>
        <w:suff w:val="tab"/>
        <w:lvlText w:val="%1."/>
        <w:pPr>
          <w:ind w:left="720" w:hanging="360"/>
          <w:tabs>
            <w:tab w:val="num" w:pos="720"/>
          </w:tabs>
        </w:pPr>
        <w:rPr>
          <w:rFonts w:hint="default" w:ascii="Calibri" w:hAnsi="Calibri" w:eastAsia="Calibri" w:cs="Calibri"/>
          <w:b w:val="off"/>
          <w:i w:val="off"/>
          <w:strike w:val="off"/>
          <w:color w:val="auto"/>
          <w:position w:val="0"/>
          <w:sz w:val="22"/>
          <w:u w:val="none"/>
          <w:shd w:val="clear" w:color="auto" w:fill="FFFFFF"/>
        </w:rPr>
      </w:lvl>
    </w:lvlOverride>
  </w:num>
  <w:num w:numId="6">
    <w:abstractNumId w:val="4"/>
  </w:num>
</w:numbering>
</file>

<file path=word/settings.xml><?xml version="1.0" encoding="utf-8"?>
<w:settings xmlns:w="http://schemas.openxmlformats.org/wordprocessingml/2006/main" xmlns:mc="http://schemas.openxmlformats.org/markup-compatibility/2006" xmlns:tx24="http://schemas.textcontrol.com/tx/2400" xmlns:tx25="http://schemas.textcontrol.com/tx/2500" mc:Ignorable="tx24 tx25">
  <w:bordersDoNotSurroundHeader/>
  <w:defaultTabStop w:val="1134"/>
  <w:compat>
    <w:noExtraLineSpacing/>
    <w:doNotUseHTMLParagraphAutoSpacing/>
    <w:compatSetting w:name="compatibilityMode" w:uri="http://schemas.microsoft.com/office/word" w:val="15"/>
  </w:compat>
  <tx24:txVer tx24:val="32.0.434.500"/>
</w:settings>
</file>

<file path=word/styles.xml><?xml version="1.0" encoding="utf-8"?>
<w:styles xmlns:w="http://schemas.openxmlformats.org/wordprocessingml/2006/main">
  <w:docDefaults>
    <w:rPrDefault>
      <w:rPr>
        <w:rFonts w:ascii="Arial"/>
        <w:sz w:val="24"/>
      </w:rPr>
    </w:rPrDefault>
  </w:docDefaults>
  <w:style w:type="paragraph" w:styleId="[Normal]" w:customStyle="1">
    <w:name w:val="[Normal]"/>
    <w:basedOn w:val="Normal"/>
    <w:next w:val="[Normal]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ascii="Arial" w:hAnsi="Arial" w:eastAsia="Arial" w:cs="Arial"/>
      <w:sz w:val="20"/>
      <w:szCs w:val="20"/>
      <w:lang w:val="en-GB" w:eastAsia="en-GB" w:bidi="en-GB"/>
    </w:rPr>
  </w:style>
  <w:style w:type="paragraph" w:styleId="Normal">
    <w:name w:val="Normal"/>
    <w:next w:val="Normal"/>
    <w:qFormat/>
    <w:pPr>
      <w:widowControl w:val="on"/>
      <w:shd w:val="clear" w:color="auto" w:fill="auto"/>
      <w:spacing w:before="0" w:after="200" w:line="276" w:lineRule="auto"/>
      <w:ind w:left="0" w:right="0" w:firstLine="0"/>
      <w:jc w:val="left"/>
      <w:outlineLvl w:val="9"/>
    </w:pPr>
    <w:rPr>
      <w:rFonts w:ascii="Calibri" w:hAnsi="Calibri" w:eastAsia="Calibri" w:cs="Calibri"/>
      <w:b w:val="off"/>
      <w:bCs w:val="off"/>
      <w:i w:val="off"/>
      <w:iCs w:val="off"/>
      <w:caps w:val="off"/>
      <w:smallCaps w:val="off"/>
      <w:strike w:val="off"/>
      <w:color w:val="auto"/>
      <w:spacing w:val="0"/>
      <w:w w:val="100"/>
      <w:position w:val="0"/>
      <w:sz w:val="22"/>
      <w:szCs w:val="22"/>
      <w:shd w:val="clear" w:color="auto" w:fill="auto"/>
      <w:vertAlign w:val="baseline"/>
      <w:rtl w:val="off"/>
      <w:lang w:val="cy-GB" w:eastAsia="cy-GB" w:bidi="cy-GB"/>
    </w:rPr>
  </w:style>
  <w:style w:type="character" w:styleId="Hyperlink">
    <w:name w:val="Hyperlink"/>
    <w:qFormat/>
    <w:rPr>
      <w:color w:val="0000FF"/>
      <w:u w:val="single"/>
      <w:rtl w:val="off"/>
    </w:rPr>
  </w:style>
  <w:style w:type="paragraph" w:styleId="ListParagraph">
    <w:name w:val="List Paragraph"/>
    <w:basedOn w:val="Normal"/>
    <w:next w:val="ListParagraph"/>
    <w:qFormat/>
    <w:pPr>
      <w:ind w:left="720"/>
    </w:pPr>
    <w:rPr>
      <w:lang w:val="cy-GB" w:eastAsia="cy-GB" w:bidi="cy-GB"/>
    </w:rPr>
  </w:style>
  <w:style w:type="character" w:styleId="normaltextrun" w:customStyle="1">
    <w:name w:val="normaltextrun"/>
    <w:qFormat/>
    <w:rPr>
      <w:rtl w:val="off"/>
    </w:rPr>
  </w:style>
  <w:style w:type="character" w:styleId="CommentReference">
    <w:name w:val="annotation reference"/>
    <w:qFormat/>
    <w:rPr>
      <w:sz w:val="16"/>
      <w:szCs w:val="16"/>
      <w:rtl w:val="off"/>
    </w:rPr>
  </w:style>
  <w:style w:type="paragraph" w:styleId="CommentText">
    <w:name w:val="annotation text"/>
    <w:basedOn w:val="Normal"/>
    <w:next w:val="CommentText"/>
    <w:qFormat/>
    <w:pPr>
      <w:spacing w:line="240" w:lineRule="auto"/>
    </w:pPr>
    <w:rPr>
      <w:sz w:val="20"/>
      <w:szCs w:val="20"/>
      <w:lang w:val="cy-GB" w:eastAsia="cy-GB" w:bidi="cy-GB"/>
    </w:rPr>
  </w:style>
  <w:style w:type="paragraph" w:styleId="CommentSubject">
    <w:name w:val="annotation subject"/>
    <w:basedOn w:val="CommentText"/>
    <w:next w:val="CommentText"/>
    <w:qFormat/>
    <w:pPr/>
    <w:rPr>
      <w:b/>
      <w:bCs/>
      <w:lang w:val="cy-GB" w:eastAsia="cy-GB" w:bidi="cy-GB"/>
    </w:rPr>
  </w:style>
  <w:style w:type="character" w:styleId="Comment Text Char" w:customStyle="1">
    <w:name w:val="Comment Text Char"/>
    <w:qFormat/>
    <w:rPr>
      <w:sz w:val="20"/>
      <w:szCs w:val="20"/>
      <w:rtl w:val="off"/>
    </w:rPr>
  </w:style>
  <w:style w:type="character" w:styleId="Comment Subject Char" w:customStyle="1">
    <w:name w:val="Comment Subject Char"/>
    <w:basedOn w:val="Comment Text Char"/>
    <w:qFormat/>
    <w:rPr>
      <w:b/>
      <w:bCs/>
      <w:sz w:val="20"/>
      <w:szCs w:val="20"/>
    </w:rPr>
  </w:style>
  <w:style w:type="paragraph" w:styleId="pf0" w:customStyle="1">
    <w:name w:val="pf0"/>
    <w:basedOn w:val="Normal"/>
    <w:next w:val="pf0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cy-GB" w:eastAsia="cy-GB" w:bidi="cy-GB"/>
    </w:rPr>
  </w:style>
  <w:style w:type="character" w:styleId="cf01" w:customStyle="1">
    <w:name w:val="cf01"/>
    <w:qFormat/>
    <w:rPr>
      <w:rFonts w:ascii="Segoe UI" w:hAnsi="Segoe UI" w:eastAsia="Segoe UI" w:cs="Segoe UI"/>
      <w:sz w:val="18"/>
      <w:szCs w:val="18"/>
      <w:rtl w:val="off"/>
    </w:rPr>
  </w:style>
  <w:style w:type="character" w:styleId="UnresolvedMention">
    <w:name w:val="Unresolved Mention"/>
    <w:qFormat/>
    <w:rPr>
      <w:color w:val="605E5C"/>
      <w:shd w:val="clear" w:color="auto" w:fill="E1DFDD"/>
      <w:rtl w:val="off"/>
    </w:rPr>
  </w:style>
  <w:style w:type="paragraph" w:styleId="paragraph" w:customStyle="1">
    <w:name w:val="paragraph"/>
    <w:basedOn w:val="Normal"/>
    <w:next w:val="paragraph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cy-GB" w:eastAsia="cy-GB" w:bidi="cy-GB"/>
    </w:rPr>
  </w:style>
  <w:style w:type="character" w:styleId="eop" w:customStyle="1">
    <w:name w:val="eop"/>
    <w:qFormat/>
    <w:rPr>
      <w:rtl w:val="off"/>
    </w:rPr>
  </w:style>
  <w:style w:type="character" w:styleId="tabchar" w:customStyle="1">
    <w:name w:val="tabchar"/>
    <w:qFormat/>
    <w:rPr>
      <w:rtl w:val="off"/>
    </w:rPr>
  </w:style>
</w:styles>
</file>

<file path=word/_rels/document.xml.rels><?xml version="1.0" encoding="UTF-8" standalone="yes"?><Relationships xmlns="http://schemas.openxmlformats.org/package/2006/relationships">
	<Relationship Id="rId00005" Type="http://schemas.openxmlformats.org/officeDocument/2006/relationships/styles" Target="styles.xml"/>
	<Relationship Id="rId00006" Type="http://schemas.openxmlformats.org/officeDocument/2006/relationships/numbering" Target="numbering.xml"/>
	<Relationship Id="rId00007" Type="http://schemas.openxmlformats.org/officeDocument/2006/relationships/fontTable" Target="fontTable.xml"/>
	<Relationship Id="rId00008" Type="http://schemas.openxmlformats.org/officeDocument/2006/relationships/settings" Target="settings.xm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INSRV</dc:creator>
  <dcterms:created xsi:type="dcterms:W3CDTF">2026-08-26T14:14:00Z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0x010100AAE072902C34734FBAFCD6DE379FA83F</vt:lpwstr>
  </property>
</Properties>
</file>